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Arial" w:hAnsi="Arial" w:eastAsia="黑体"/>
          <w:b/>
          <w:bCs/>
          <w:color w:val="000000"/>
          <w:sz w:val="84"/>
          <w:szCs w:val="24"/>
          <w:highlight w:val="none"/>
        </w:rPr>
      </w:r>
      <w:r/>
    </w:p>
    <w:p>
      <w:pPr>
        <w:pStyle w:val="950"/>
        <w:rPr>
          <w:rFonts w:hint="eastAsia"/>
          <w:color w:val="000000"/>
          <w:highlight w:val="none"/>
        </w:rPr>
      </w:pPr>
      <w:r>
        <w:rPr>
          <w:rFonts w:hint="eastAsia"/>
          <w:color w:val="000000"/>
          <w:highlight w:val="none"/>
        </w:rPr>
      </w:r>
      <w:r/>
    </w:p>
    <w:p>
      <w:pPr>
        <w:pStyle w:val="967"/>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ind w:left="2997" w:hanging="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eastAsia="宋体" w:cs="Times New Roman"/>
          <w:b/>
          <w:color w:val="000000"/>
          <w:sz w:val="30"/>
          <w:szCs w:val="30"/>
          <w:highlight w:val="none"/>
          <w:lang w:val="en-US" w:eastAsia="zh-CN"/>
        </w:rPr>
        <w:t xml:space="preserve">南京</w:t>
      </w:r>
      <w:r>
        <w:rPr>
          <w:rFonts w:hint="eastAsia"/>
          <w:b/>
          <w:color w:val="000000"/>
          <w:sz w:val="30"/>
          <w:szCs w:val="30"/>
          <w:lang w:val="en-US" w:eastAsia="zh-CN"/>
        </w:rPr>
        <w:t xml:space="preserve">市热线中心</w:t>
      </w:r>
      <w:r>
        <w:rPr>
          <w:rFonts w:hint="eastAsia"/>
          <w:b/>
          <w:color w:val="000000"/>
          <w:sz w:val="30"/>
          <w:szCs w:val="30"/>
        </w:rPr>
        <w:t xml:space="preserve">12345政务热线综合管理平台升级改造（2</w:t>
      </w:r>
      <w:r>
        <w:rPr>
          <w:rFonts w:hint="eastAsia"/>
          <w:b/>
          <w:bCs/>
          <w:color w:val="000000"/>
          <w:sz w:val="30"/>
          <w:szCs w:val="30"/>
        </w:rPr>
        <w:t xml:space="preserve">0</w:t>
      </w:r>
      <w:r>
        <w:rPr>
          <w:rFonts w:hint="eastAsia"/>
          <w:b/>
          <w:color w:val="000000"/>
          <w:sz w:val="30"/>
          <w:szCs w:val="30"/>
        </w:rPr>
        <w:t xml:space="preserve">26—2027年）项目</w:t>
      </w:r>
      <w:r>
        <w:rPr>
          <w:rFonts w:hint="eastAsia"/>
          <w:b/>
          <w:color w:val="000000"/>
          <w:sz w:val="32"/>
          <w:szCs w:val="32"/>
        </w:rPr>
        <w:t xml:space="preserve"> </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87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0270</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7"/>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2026年7月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0"/>
        <w:rPr>
          <w:rFonts w:hint="eastAsia"/>
          <w:color w:val="000000"/>
          <w:highlight w:val="none"/>
        </w:rPr>
      </w:pPr>
      <w:r>
        <w:rPr>
          <w:rFonts w:hint="eastAsia"/>
          <w:color w:val="000000"/>
          <w:highlight w:val="none"/>
        </w:rPr>
      </w:r>
      <w:r/>
    </w:p>
    <w:p>
      <w:pPr>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pStyle w:val="871"/>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eastAsia="宋体" w:cs="Times New Roman"/>
          <w:color w:val="000000"/>
          <w:sz w:val="24"/>
          <w:szCs w:val="24"/>
          <w:highlight w:val="none"/>
          <w:lang w:val="en-US"/>
        </w:rPr>
      </w:pPr>
      <w:r/>
      <w:bookmarkEnd w:id="11"/>
      <w:r>
        <w:rPr>
          <w:rFonts w:hint="eastAsia" w:ascii="宋体" w:hAnsi="宋体"/>
          <w:color w:val="000000"/>
          <w:sz w:val="24"/>
          <w:szCs w:val="24"/>
          <w:highlight w:val="none"/>
        </w:rPr>
        <w:t xml:space="preserve">1.项目编</w:t>
      </w:r>
      <w:r>
        <w:rPr>
          <w:rFonts w:hint="eastAsia" w:ascii="宋体" w:hAnsi="宋体" w:eastAsia="宋体" w:cs="Times New Roman"/>
          <w:color w:val="000000"/>
          <w:sz w:val="24"/>
          <w:szCs w:val="24"/>
          <w:highlight w:val="none"/>
        </w:rPr>
        <w:t xml:space="preserve">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0270</w:t>
      </w:r>
      <w:r>
        <w:rPr>
          <w:rFonts w:ascii="宋体" w:hAnsi="宋体" w:eastAsia="宋体" w:cs="Times New Roman"/>
          <w:color w:val="000000"/>
          <w:sz w:val="24"/>
          <w:szCs w:val="24"/>
          <w:highlight w:val="none"/>
          <w:lang w:val="en-US"/>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w:t>
      </w:r>
      <w:r>
        <w:rPr>
          <w:rFonts w:hint="eastAsia" w:ascii="宋体" w:hAnsi="宋体" w:eastAsia="宋体" w:cs="Times New Roman"/>
          <w:color w:val="000000"/>
          <w:sz w:val="24"/>
          <w:szCs w:val="24"/>
          <w:highlight w:val="none"/>
          <w:lang w:val="en-US" w:eastAsia="zh-CN"/>
        </w:rPr>
        <w:t xml:space="preserve">南京市热线中心</w:t>
      </w:r>
      <w:r>
        <w:rPr>
          <w:rFonts w:hint="eastAsia" w:ascii="宋体" w:hAnsi="宋体" w:eastAsia="宋体" w:cs="Times New Roman"/>
          <w:color w:val="000000"/>
          <w:sz w:val="24"/>
          <w:szCs w:val="24"/>
          <w:highlight w:val="none"/>
        </w:rPr>
        <w:t xml:space="preserve">12345政务热线综合管理平台升级</w:t>
      </w:r>
      <w:r>
        <w:rPr>
          <w:rFonts w:hint="eastAsia" w:ascii="宋体" w:hAnsi="宋体" w:eastAsia="宋体" w:cs="Times New Roman"/>
          <w:color w:val="000000"/>
          <w:sz w:val="24"/>
          <w:szCs w:val="24"/>
          <w:highlight w:val="none"/>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79.61</w:t>
      </w:r>
      <w:r>
        <w:rPr>
          <w:rFonts w:hint="eastAsia" w:ascii="宋体" w:hAnsi="宋体" w:eastAsia="宋体" w:cs="Times New Roman"/>
          <w:color w:val="000000"/>
          <w:sz w:val="24"/>
          <w:szCs w:val="24"/>
          <w:highlight w:val="none"/>
        </w:rPr>
        <w:t xml:space="preserve">万元</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最高限价：79.61</w:t>
      </w:r>
      <w:r>
        <w:rPr>
          <w:rFonts w:hint="eastAsia" w:ascii="宋体" w:hAnsi="宋体" w:eastAsia="宋体" w:cs="Times New Roman"/>
          <w:color w:val="000000"/>
          <w:sz w:val="24"/>
          <w:szCs w:val="24"/>
          <w:highlight w:val="none"/>
        </w:rPr>
        <w:t xml:space="preserve">万元</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5.采购需</w:t>
      </w:r>
      <w:r>
        <w:rPr>
          <w:rFonts w:hint="eastAsia" w:ascii="宋体" w:hAnsi="宋体" w:eastAsia="宋体" w:cs="Times New Roman"/>
          <w:color w:val="000000"/>
          <w:sz w:val="24"/>
          <w:szCs w:val="24"/>
          <w:highlight w:val="none"/>
          <w:lang w:val="en-US" w:eastAsia="zh-CN"/>
        </w:rPr>
        <w:t xml:space="preserve">求（简介）：为进一步提升12345热线智能化筛选归集能力，对南京12345政务热线综合管理平台进行升级改造，建设热线社情民意智能感知分析功能，规范数据标准，细化可提取数据颗粒度，优化回流数据质量，突出重点、高频诉求，加强智能化分析，提升数据汇集智能化水平。（详细内容见本招标文件第四章）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6.合同履行期限：730天（系统开发及验收时间为合同签订后365天内，运维期为验收合格后365天）</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7.本项目不接受联合体投标。</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8.本项目不接受进口产品投标。</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9.本项目不允许分包。</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35393622"/>
      <w:r/>
      <w:bookmarkStart w:id="14" w:name="_Toc38985264"/>
      <w:r/>
      <w:bookmarkStart w:id="15" w:name="_Toc35393791"/>
      <w:r/>
      <w:bookmarkStart w:id="16" w:name="_Toc28359003"/>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28359004"/>
      <w:r/>
      <w:bookmarkStart w:id="19" w:name="_Toc28359081"/>
      <w:r/>
      <w:bookmarkStart w:id="20" w:name="_Toc35393623"/>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1"/>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7" w:name="_Toc38985267"/>
      <w:r/>
      <w:bookmarkStart w:id="28" w:name="_Toc28359084"/>
      <w:r/>
      <w:bookmarkStart w:id="29" w:name="_Toc35393625"/>
      <w:r/>
      <w:bookmarkStart w:id="30" w:name="_Toc28359007"/>
      <w:r/>
      <w:bookmarkStart w:id="31" w:name="_Toc3539379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月21</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1"/>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627"/>
      <w:r/>
      <w:bookmarkStart w:id="36" w:name="_Toc28359085"/>
      <w:r/>
      <w:bookmarkStart w:id="37" w:name="_Toc35393796"/>
      <w:r/>
      <w:bookmarkStart w:id="38" w:name="_Toc38985269"/>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1"/>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采购人《质疑函》收件人：王先生，收件地址：南京市建邺区江东中路265号新城大厦A座3楼，联系电话：025-68505157。</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b w:val="0"/>
          <w:bCs w:val="0"/>
          <w:color w:val="000000"/>
          <w:sz w:val="24"/>
          <w:highlight w:val="none"/>
          <w:lang w:val="en-US"/>
        </w:rPr>
      </w:pPr>
      <w:r>
        <w:rPr>
          <w:rFonts w:hint="eastAsia" w:ascii="宋体" w:hAnsi="宋体" w:eastAsia="宋体" w:cs="宋体"/>
          <w:color w:val="000000"/>
          <w:sz w:val="24"/>
          <w:szCs w:val="24"/>
          <w:highlight w:val="none"/>
          <w:lang w:val="en-US" w:eastAsia="zh-CN"/>
        </w:rPr>
        <w:t xml:space="preserve">交易中心《质疑函》收件人：南</w:t>
      </w:r>
      <w:r>
        <w:rPr>
          <w:rFonts w:hint="eastAsia" w:ascii="宋体" w:hAnsi="宋体" w:eastAsia="宋体" w:cs="Times New Roman"/>
          <w:b w:val="0"/>
          <w:bCs w:val="0"/>
          <w:color w:val="000000"/>
          <w:sz w:val="24"/>
          <w:highlight w:val="none"/>
          <w:lang w:val="en-US"/>
        </w:rPr>
        <w:t xml:space="preserve">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4"/>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bookmarkStart w:id="40" w:name="_Toc28359009"/>
      <w:r/>
      <w:bookmarkStart w:id="41" w:name="_Toc28359086"/>
      <w:r>
        <w:rPr>
          <w:rFonts w:hint="eastAsia" w:ascii="宋体" w:hAnsi="宋体" w:eastAsia="宋体" w:cs="宋体"/>
          <w:color w:val="000000"/>
          <w:sz w:val="24"/>
          <w:szCs w:val="24"/>
          <w:highlight w:val="none"/>
          <w:lang w:val="en-US" w:eastAsia="zh-CN"/>
        </w:rPr>
        <w:t xml:space="preserve">名  称：南京市“12345”政务热线服务中心          </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址：南京市建邺区江东中路265号    </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联系人：王先生    </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联系电话：025-68505157 </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2.交易中心</w:t>
      </w:r>
      <w:bookmarkEnd w:id="40"/>
      <w:r/>
      <w:bookmarkEnd w:id="41"/>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邹女士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联系电话：025-68505810</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6938590"/>
      <w:r/>
      <w:bookmarkStart w:id="44" w:name="_Toc120614244"/>
      <w:r/>
      <w:bookmarkStart w:id="45" w:name="_Toc20823346"/>
      <w:r/>
      <w:bookmarkStart w:id="46" w:name="_Toc462564139"/>
      <w:r/>
      <w:bookmarkStart w:id="47" w:name="_Toc479757211"/>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1"/>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4"/>
          <w:highlight w:val="none"/>
          <w:lang w:val="en-US"/>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71"/>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71"/>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71"/>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71"/>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71"/>
        <w:ind w:firstLine="420"/>
        <w:rPr>
          <w:color w:val="000000"/>
          <w:highlight w:val="none"/>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20614221"/>
      <w:r/>
      <w:bookmarkStart w:id="50" w:name="_Toc16938558"/>
      <w:r/>
      <w:bookmarkStart w:id="51" w:name="_Toc479757207"/>
      <w:r/>
      <w:bookmarkStart w:id="52" w:name="_Toc20823314"/>
      <w:r/>
      <w:bookmarkStart w:id="53" w:name="_Toc513029242"/>
      <w:r>
        <w:rPr>
          <w:color w:val="000000"/>
          <w:highlight w:val="none"/>
        </w:rPr>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1</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0"/>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513029243"/>
      <w:r/>
      <w:bookmarkStart w:id="55" w:name="_Toc16938559"/>
      <w:r/>
      <w:bookmarkStart w:id="56"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0"/>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合同签订且服务团队人员到位后，甲方支付合同总额的30%；项目完成初验后，支付合同总额的50%；项目完成终验后，支付合同总额的</w:t>
      </w:r>
      <w:r>
        <w:rPr>
          <w:rFonts w:hint="eastAsia" w:hAnsi="宋体" w:eastAsia="宋体" w:cs="Courier New"/>
          <w:color w:val="000000"/>
          <w:sz w:val="24"/>
          <w:szCs w:val="24"/>
          <w:highlight w:val="none"/>
          <w:lang w:val="en-US" w:eastAsia="zh-CN"/>
        </w:rPr>
        <w:t xml:space="preserve">20</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如遇不可抗力</w:t>
      </w:r>
      <w:r>
        <w:rPr>
          <w:rFonts w:hint="eastAsia" w:hAnsi="宋体" w:eastAsia="宋体" w:cs="Courier New"/>
          <w:color w:val="000000"/>
          <w:sz w:val="24"/>
          <w:szCs w:val="24"/>
          <w:highlight w:val="none"/>
          <w:lang w:val="en-US" w:eastAsia="zh-CN"/>
        </w:rPr>
        <w:t xml:space="preserve">等</w:t>
      </w:r>
      <w:r>
        <w:rPr>
          <w:rFonts w:hint="eastAsia" w:ascii="宋体" w:hAnsi="宋体" w:eastAsia="宋体" w:cs="Courier New"/>
          <w:color w:val="000000"/>
          <w:sz w:val="24"/>
          <w:szCs w:val="24"/>
          <w:highlight w:val="none"/>
          <w:lang w:val="en-US" w:eastAsia="zh-CN"/>
        </w:rPr>
        <w:t xml:space="preserve">原因（如：财政预算缩减、政策变化、项目变更等）双方可根据服务履约</w:t>
      </w:r>
      <w:r>
        <w:rPr>
          <w:rFonts w:hint="eastAsia"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和资金情况协商支付比例和支付时间。</w:t>
      </w:r>
      <w:r>
        <w:rPr>
          <w:rFonts w:hint="eastAsia" w:ascii="宋体" w:hAnsi="宋体" w:eastAsia="宋体" w:cs="Courier New"/>
          <w:color w:val="000000"/>
          <w:sz w:val="24"/>
          <w:szCs w:val="24"/>
          <w:highlight w:val="none"/>
          <w:lang w:val="en-US" w:eastAsia="zh-CN"/>
        </w:rPr>
      </w:r>
      <w:r/>
    </w:p>
    <w:p>
      <w:pPr>
        <w:pStyle w:val="910"/>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eastAsia="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满足合同约定支付条件的，甲方收到乙方发票后10个工作日内，将资金支付到合同约定的乙方账户。 </w:t>
      </w:r>
      <w:r>
        <w:rPr>
          <w:rFonts w:hint="eastAsia"/>
          <w:color w:val="000000"/>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条款</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00"/>
          <w:sz w:val="24"/>
          <w:szCs w:val="24"/>
          <w:highlight w:val="none"/>
          <w:lang w:val="en-US"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 根据电子政务网络使用管理等要求，乙方须确保本系统相对独立，落实物理隔离、逻辑隔离等举措。</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.2 乙方原则不得分包合同任务；确需分包的，应报经甲方同意，并明确相应的网络安全责任和义务，同时明确不得将合同任务主体和关键部分分包。</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.3本项目产生的政务热线数据、系统运行数据及收集的个人信息等数据资产归甲方所有。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.4 乙方应当按相关法律法规和甲方要求收集、使用、存储、处理数据。</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.5 乙方要采取技术措施保证甲方对数据的正常访问、利用、支配。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.6 乙方应当将政务热线数据与其他数据分开存储、处理，并确保历史数据的延续性。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.7 未经甲方同意，乙方不得变更数据用途、用法，不得访问、修改、公开、披露、利用、转让、销毁、私自留存或向第三方提供。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.8 合同终止时，乙方必须按照甲方的要求及时处理数据。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.9 乙方应当按照《网络安全法》《数据安全法》《个人信息保护法》等法律法规及相关政策规定的要求，加强个人信息保护。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.10乙方应当严格按照规定和甲方要求采购相关产品和服务。如果没有按照甲方要求采购，甲方有权变更合同条款或解除合同，并由乙方承担给甲方造成的损失。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.11 乙方应当建立健全网络和数据安全保护机制，发现重大问题按规定及时向甲方和相关部门报告。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.12乙方发生业务转型、合并重组、投资并购等重大事项，或者管理技术团队人员发生重大变化，应提前向甲方报告。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.13乙方应当积极配合相关部门开展网络安全检查、测评、审计等监督管理工作，拒绝或不配合监管的，由乙方承担相关责任和给甲方造成的损失。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.14 乙方应当如实完整提供网络安全管理情况，如有隐匿、瞒报的，由乙方承担相关责任和给甲方造成的损失。 </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.15.乙方如在本项目建设和维保期间违反网络和数据安全相关法律法规而受到行政处罚或刑事处罚，甲方有权变更合同条款或解除原合同及本合同，并由乙方承担给甲方造成的损失。</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.16 在本项目建设和维保期间,乙方应当按规定每年向甲方提交网络安全报告。</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.17 甲方按照最小必要原则授予乙方相关权限，并按规定收回权限。当乙方人员出现变动时，不得私自移交相关权限，需向甲方提交申请并得到甲方的同意方可继续使用。</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.18 乙方应当按甲方要求加强网络安全防护能力建设，优化网络安全架构设计，及时更换存在安全隐患的软硬件。</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.19 乙方应当按甲方要求定期组织网络安全培训。</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.20 乙方应当按照甲方要求明确管理技术团队要相对独立，团队人员为正式员工，并配备专门的网络安全负责人并书面报甲方备案。</w:t>
      </w:r>
      <w:r>
        <w:rPr>
          <w:rFonts w:hint="eastAsia" w:ascii="宋体" w:hAnsi="宋体" w:eastAsia="宋体" w:cs="Courier New"/>
          <w:color w:val="000000"/>
          <w:sz w:val="24"/>
          <w:szCs w:val="24"/>
          <w:highlight w:val="none"/>
          <w:lang w:val="zh-CN" w:eastAsia="zh-CN"/>
        </w:rPr>
      </w:r>
      <w:r/>
    </w:p>
    <w:p>
      <w:pPr>
        <w:pStyle w:val="871"/>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w:t>
      </w:r>
      <w:r>
        <w:rPr>
          <w:rFonts w:hint="eastAsia" w:ascii="宋体" w:hAnsi="宋体" w:eastAsia="宋体" w:cs="Courier New"/>
          <w:color w:val="000000"/>
          <w:sz w:val="24"/>
          <w:szCs w:val="24"/>
          <w:highlight w:val="none"/>
          <w:lang w:val="zh-CN" w:eastAsia="zh-CN"/>
        </w:rPr>
        <w:t xml:space="preserve">.21乙方如有违反法律法规及本合同的行为，甲方将依法追究责任。</w:t>
      </w:r>
      <w:r>
        <w:rPr>
          <w:rFonts w:hint="eastAsia" w:ascii="宋体" w:hAnsi="宋体" w:eastAsia="宋体" w:cs="Courier New"/>
          <w:color w:val="000000"/>
          <w:sz w:val="24"/>
          <w:szCs w:val="24"/>
          <w:highlight w:val="none"/>
          <w:lang w:val="zh-CN" w:eastAsia="zh-CN"/>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0.5‰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cs="Courier New"/>
          <w:sz w:val="24"/>
          <w:szCs w:val="24"/>
          <w:u w:val="single"/>
        </w:rPr>
        <w:t xml:space="preserve">5%</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rPr>
        <w:t xml:space="preserve">0.5‰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cs="Courier New"/>
          <w:sz w:val="24"/>
          <w:szCs w:val="24"/>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w:t>
      </w:r>
      <w:r>
        <w:rPr>
          <w:rFonts w:hint="eastAsia" w:ascii="宋体" w:hAnsi="宋体" w:eastAsia="宋体" w:cs="Courier New"/>
          <w:color w:val="000000"/>
          <w:sz w:val="24"/>
          <w:szCs w:val="24"/>
          <w:highlight w:val="none"/>
          <w:lang w:val="en-US" w:eastAsia="zh-CN"/>
        </w:rPr>
        <w:t xml:space="preserve">陆</w:t>
      </w:r>
      <w:r>
        <w:rPr>
          <w:rFonts w:hint="eastAsia" w:ascii="宋体" w:hAnsi="宋体" w:eastAsia="宋体" w:cs="Courier New"/>
          <w:color w:val="000000"/>
          <w:sz w:val="24"/>
          <w:szCs w:val="24"/>
          <w:highlight w:val="none"/>
        </w:rPr>
        <w:t xml:space="preserve">份，具有同等法律效力，甲方、乙方各执</w:t>
      </w:r>
      <w:r>
        <w:rPr>
          <w:rFonts w:hint="eastAsia" w:ascii="宋体" w:hAnsi="宋体" w:eastAsia="宋体" w:cs="Courier New"/>
          <w:color w:val="000000"/>
          <w:sz w:val="24"/>
          <w:szCs w:val="24"/>
          <w:highlight w:val="none"/>
          <w:lang w:val="en-US" w:eastAsia="zh-CN"/>
        </w:rPr>
        <w:t xml:space="preserve">叁</w:t>
      </w:r>
      <w:r>
        <w:rPr>
          <w:rFonts w:hint="eastAsia" w:ascii="宋体" w:hAnsi="宋体" w:eastAsia="宋体" w:cs="Courier New"/>
          <w:color w:val="000000"/>
          <w:sz w:val="24"/>
          <w:szCs w:val="24"/>
          <w:highlight w:val="none"/>
        </w:rPr>
        <w:t xml:space="preserve">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54"/>
      <w:r/>
      <w:bookmarkEnd w:id="55"/>
      <w:r/>
      <w:bookmarkEnd w:id="56"/>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0"/>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（一）项目背景</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为进一步提升12345热线智能化筛选归集能力，对市12345政务热线综合管理平台进行升级改造，建设热线社情民意智能感知分析功能，规范数据标准，细化可提取数据颗粒度，优化</w:t>
      </w:r>
      <w:r>
        <w:rPr>
          <w:rFonts w:hint="eastAsia" w:ascii="宋体" w:hAnsi="宋体" w:eastAsia="宋体" w:cs="宋体"/>
          <w:color w:val="000000"/>
          <w:sz w:val="24"/>
          <w:szCs w:val="24"/>
          <w:highlight w:val="none"/>
        </w:rPr>
        <w:t xml:space="preserve">回流数据质量，突出重点、高频诉求，加强智能化分析，提升数据汇集智能化水平。依托南京市政务云AI大模型、算力、存力等基础设施资源，以现有南京12345政务热线综合管理平台为底座进行升级改造，基于江苏12345热线“民声智慧听”一体化服务平台回流数据，构建12345热线社情民意智能感知分析功能，破解当前热线管理“数据归集不充分”“事件聚类不精准”“热点识别不及时”“智能分析不深入”等痛点难点，推动12345热线从“手工统计”迈向“智能分析”，为城市治理提供精准、高效、直观的数据支撑，提升政务服务与社会治理效能。</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4"/>
        <w:tblW w:w="517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0"/>
        <w:gridCol w:w="1459"/>
        <w:gridCol w:w="749"/>
        <w:gridCol w:w="710"/>
        <w:gridCol w:w="1048"/>
        <w:gridCol w:w="1060"/>
        <w:gridCol w:w="1321"/>
        <w:gridCol w:w="1091"/>
        <w:gridCol w:w="1125"/>
        <w:gridCol w:w="1001"/>
      </w:tblGrid>
      <w:tr>
        <w:trPr>
          <w:trHeight w:val="470"/>
        </w:trPr>
        <w:tc>
          <w:tcPr>
            <w:tcW w:w="26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72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35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51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524" w:type="dxa"/>
            <w:vAlign w:val="center"/>
            <w:textDirection w:val="lrTb"/>
            <w:noWrap w:val="false"/>
          </w:tcPr>
          <w:p>
            <w:pPr>
              <w:pStyle w:val="871"/>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65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53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c>
          <w:tcPr>
            <w:tcW w:w="5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数据交易类型（如有）</w:t>
            </w:r>
            <w:r>
              <w:rPr>
                <w:rFonts w:hint="eastAsia" w:ascii="宋体" w:hAnsi="宋体" w:eastAsia="宋体" w:cs="宋体"/>
                <w:bCs/>
                <w:color w:val="000000"/>
                <w:sz w:val="24"/>
                <w:szCs w:val="24"/>
                <w:highlight w:val="none"/>
                <w:lang w:eastAsia="zh-CN"/>
              </w:rPr>
            </w:r>
            <w:r/>
          </w:p>
        </w:tc>
        <w:tc>
          <w:tcPr>
            <w:tcW w:w="49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597"/>
        </w:trPr>
        <w:tc>
          <w:tcPr>
            <w:tcW w:w="26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721"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cs="宋体"/>
                <w:bCs/>
                <w:sz w:val="24"/>
                <w:szCs w:val="24"/>
                <w:lang w:val="en-US" w:eastAsia="zh-CN"/>
              </w:rPr>
            </w:r>
            <w:r>
              <w:rPr>
                <w:rFonts w:hint="eastAsia" w:ascii="宋体" w:hAnsi="宋体" w:cs="宋体"/>
                <w:bCs/>
                <w:sz w:val="24"/>
                <w:szCs w:val="24"/>
              </w:rPr>
              <w:t xml:space="preserve">南京市热线中心12345政务热线综合管理平台升级改造 (2026-2027年)项目</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5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51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sz w:val="24"/>
                <w:szCs w:val="24"/>
                <w:lang w:val="en-US" w:eastAsia="zh-CN"/>
              </w:rPr>
              <w:t xml:space="preserve">7961</w:t>
            </w:r>
            <w:r>
              <w:rPr>
                <w:rFonts w:hint="eastAsia" w:ascii="宋体" w:hAnsi="宋体" w:cs="宋体"/>
                <w:bCs/>
                <w:sz w:val="24"/>
                <w:szCs w:val="24"/>
              </w:rPr>
              <w:t xml:space="preserve">00</w:t>
            </w:r>
            <w:r>
              <w:rPr>
                <w:rFonts w:hint="eastAsia" w:ascii="宋体" w:hAnsi="宋体" w:eastAsia="宋体" w:cs="Times New Roman"/>
                <w:bCs/>
                <w:color w:val="000000"/>
                <w:sz w:val="24"/>
                <w:szCs w:val="24"/>
                <w:highlight w:val="none"/>
                <w:lang w:val="en-US" w:eastAsia="zh-CN" w:bidi="ar-SA"/>
              </w:rPr>
            </w:r>
            <w:r/>
          </w:p>
        </w:tc>
        <w:tc>
          <w:tcPr>
            <w:tcW w:w="52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65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5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highlight w:val="none"/>
                <w:lang w:eastAsia="zh-CN"/>
              </w:rPr>
            </w:r>
            <w:r/>
          </w:p>
        </w:tc>
        <w:tc>
          <w:tcPr>
            <w:tcW w:w="49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highlight w:val="none"/>
                <w:lang w:eastAsia="zh-CN"/>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1"/>
        <w:ind w:firstLine="482"/>
        <w:keepLines w:val="0"/>
        <w:keepNext w:val="0"/>
        <w:pageBreakBefore w:val="0"/>
        <w:spacing w:line="264" w:lineRule="auto"/>
        <w:widowControl w:val="off"/>
        <w:rPr>
          <w:rFonts w:hint="eastAsia" w:ascii="宋体" w:hAnsi="宋体"/>
          <w:b/>
          <w:bCs/>
          <w:sz w:val="24"/>
          <w:szCs w:val="24"/>
        </w:rPr>
      </w:pPr>
      <w:r>
        <w:rPr>
          <w:rFonts w:hint="eastAsia" w:ascii="宋体" w:hAnsi="宋体"/>
          <w:b/>
          <w:bCs/>
          <w:sz w:val="24"/>
          <w:szCs w:val="24"/>
        </w:rPr>
        <w:t xml:space="preserve">1.功能要求</w:t>
      </w:r>
      <w:r>
        <w:rPr>
          <w:rFonts w:hint="eastAsia" w:ascii="宋体" w:hAnsi="宋体"/>
          <w:b/>
          <w:bCs/>
          <w:sz w:val="24"/>
          <w:szCs w:val="24"/>
        </w:rPr>
      </w:r>
      <w:r/>
    </w:p>
    <w:p>
      <w:pPr>
        <w:pStyle w:val="871"/>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智能专题分析</w:t>
      </w:r>
      <w:r>
        <w:rPr>
          <w:rFonts w:hint="eastAsia" w:ascii="宋体" w:hAnsi="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民生热点：需聚焦重点民生领域工单，展示趋势变化及区域分布等诉求特征；需智能聚类主题场景工单，多维度统计分析、汇聚热点。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企业热点：需聚焦企业类诉求工单，聚类识别企业诉求热点，以诉求趋势变化、区域分布等形式可视化展示。</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重点工作：需针对重点保障场景，智能聚类关联工单，多维度统计分析、汇聚热点诉求，需支持灵活创建专项场景。</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智能报告：需依据指定时段工单数据，自动生成专题报告，需支持模板自定义编辑，需支持导出多种格式，与多种场景融合使用。</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关联分析研判</w:t>
      </w:r>
      <w:r>
        <w:rPr>
          <w:rFonts w:hint="eastAsia" w:ascii="宋体" w:hAnsi="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高频事件：需自动汇聚短期高频事件并进行分析及监测；聚焦特定地理单元，挖掘区域内诉求人群共性特征与集中诉求，掌握区域与人群分布差异，需支持生成专题分析报告。</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高频主体：需实时监测分析各类高频责任主体，智能识别潜在风险与民意动态，形成预警信息；精准掌握公众对特定主体的评价与诉求。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热点事件：需通过工单智能聚类或从指定事件范围内抓取热点，生成热点事件库榜单，并追踪其始末；需提供相似工单追溯与详情查看，地图可视化呈现事件及同类工单分布。</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一人多诉：需聚焦长期高频诉求市民，基于历史工单多维度分析提炼特征，可视化展示核心诉求。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敏感事件：需基于热线敏感词库挖掘潜在风险事件，多维度分析事件趋势、涉事领域与群众关切，及时预警苗头性、集中性问题。</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b/>
          <w:bCs/>
          <w:sz w:val="24"/>
          <w:szCs w:val="24"/>
        </w:rPr>
        <w:t xml:space="preserve">效能监督评价</w:t>
      </w:r>
      <w:r>
        <w:rPr>
          <w:rFonts w:hint="eastAsia" w:ascii="宋体" w:hAnsi="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办理分析：需基于工单全流程办理数据，通过多维度筛选、可视化展示及同期对比分析，实现办理效能监测、问题精准识别。</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不满意分析：需归集分析不满意工单，挖掘市民诉求热点；需支持多条件查询；需支持按市民号码关联历史工单。</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（4）</w:t>
      </w:r>
      <w:r>
        <w:rPr>
          <w:rFonts w:hint="eastAsia" w:ascii="宋体" w:hAnsi="宋体"/>
          <w:b/>
          <w:bCs/>
          <w:sz w:val="24"/>
          <w:szCs w:val="24"/>
        </w:rPr>
        <w:t xml:space="preserve">全量态势感知</w:t>
      </w:r>
      <w:r>
        <w:rPr>
          <w:rFonts w:hint="eastAsia" w:ascii="宋体" w:hAnsi="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运行统览：需整合全域工单数据归集，实现一屏总览。</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多维分析：需对热线工单全量数据进行多维度可视化分析，需包括趋势分析、分布分析、特征分析。</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滚动展示：需基于相似工单聚类，按诉求时间降序实时滚动展示，优先呈现最新工单，需支持单类型聚焦查看与数据实时同步。</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（5）</w:t>
      </w:r>
      <w:r>
        <w:rPr>
          <w:rFonts w:hint="eastAsia" w:ascii="宋体" w:hAnsi="宋体"/>
          <w:b/>
          <w:bCs/>
          <w:sz w:val="24"/>
          <w:szCs w:val="24"/>
        </w:rPr>
        <w:t xml:space="preserve">数据底座治理</w:t>
      </w:r>
      <w:r>
        <w:rPr>
          <w:rFonts w:hint="eastAsia" w:ascii="宋体" w:hAnsi="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工单预处理：需对工单数据进行全量解析，通过校验保障数据完整准确。需基于唯一标识实现多维度数据融合；统一字段规范与编码标准，形成高质量标准化数据资源。</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标签管理：需构建多维度、动态化工单标签体系，实现数据立体化标注与关联分析。</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归口适配：需基于省一体化平台归口不定期更新现状，应对新老归口差异，确保统计口径及时调整。</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地名地址库对接：需对接政务云地名地址库，调取相应接口获取地图数据及服务。</w:t>
      </w:r>
      <w:r>
        <w:rPr>
          <w:rFonts w:hint="eastAsia" w:ascii="宋体" w:hAnsi="宋体" w:eastAsia="宋体" w:cs="宋体"/>
          <w:bCs/>
          <w:color w:val="000000"/>
          <w:sz w:val="24"/>
          <w:szCs w:val="24"/>
          <w:highlight w:val="none"/>
          <w:lang w:eastAsia="zh-CN"/>
        </w:rPr>
      </w:r>
      <w:r/>
    </w:p>
    <w:p>
      <w:pPr>
        <w:pStyle w:val="871"/>
        <w:ind w:firstLine="482"/>
        <w:keepLines w:val="0"/>
        <w:keepNext w:val="0"/>
        <w:pageBreakBefore w:val="0"/>
        <w:spacing w:line="264" w:lineRule="auto"/>
        <w:widowControl w:val="off"/>
        <w:rPr>
          <w:rFonts w:hint="eastAsia" w:ascii="宋体" w:hAnsi="宋体"/>
          <w:b/>
          <w:bCs/>
          <w:sz w:val="24"/>
          <w:szCs w:val="24"/>
        </w:rPr>
      </w:pPr>
      <w:r>
        <w:rPr>
          <w:rFonts w:hint="eastAsia" w:ascii="宋体" w:hAnsi="宋体"/>
          <w:b/>
          <w:bCs/>
          <w:sz w:val="24"/>
          <w:szCs w:val="24"/>
        </w:rPr>
        <w:t xml:space="preserve">2.性能要求</w:t>
      </w:r>
      <w:r>
        <w:rPr>
          <w:rFonts w:hint="eastAsia" w:ascii="宋体" w:hAnsi="宋体"/>
          <w:b/>
          <w:bCs/>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响应速度：单份报告生成≤120秒，数据查询、筛选响应≤2秒，可视化图表渲染≤10秒。</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数据处理能力：日处理新增工单≥2万件，年处理工单≥500万件，AI聚类分析延迟≤1小时。</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准确率：工单结构化转换准确率≥95%，热点聚类准确率≥90%，人物画像特征提取准确率≥90%。</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稳定性：支持7×24小时连续运行，年可用性≥99.9%，单次故障恢复时间≤1小时。</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并发能力：支持≥50用户同时在线操作，≥10用户同时导出报告时性能无明显下降。</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黑体" w:hAnsi="黑体" w:eastAsia="黑体" w:cs="黑体"/>
          <w:sz w:val="24"/>
          <w:szCs w:val="24"/>
        </w:rPr>
        <w:t xml:space="preserve">★</w:t>
      </w:r>
      <w:r>
        <w:rPr>
          <w:rFonts w:hint="eastAsia" w:ascii="宋体" w:hAnsi="宋体" w:eastAsia="宋体" w:cs="宋体"/>
          <w:bCs/>
          <w:color w:val="000000"/>
          <w:sz w:val="24"/>
          <w:szCs w:val="24"/>
          <w:highlight w:val="none"/>
          <w:lang w:eastAsia="zh-CN"/>
        </w:rPr>
        <w:t xml:space="preserve">（二）商务要求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1.报价要求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（2）供应商的任何错漏、优惠、竞争性报价不得作为减轻责任、减少服务、增加收费、降低服务质量的理由。</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2.实施要求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（1）总体要求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供应商应按时完成软件开发、调试、测试、集成、施工、部署。包括但不限于：</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1）应用软件开发及安装</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①软件开发环境要求：供应商应安排其投入本项目的实施人员，在采购人指定或同意的地点进行开发、调试及维护等工作。</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②软件系统安装要求：供应商必须在实施时向采购人提供响应文件中承诺的系统开发、联调、维护服务等的全部内容，并在需要的时候配合系统软件、硬件提供商完成整个系统的部署及网络联调工作。</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对供应商的要求：要求供应商必须具有良好信誉和相关实力的技术队伍；供应商应本着认真负责态度，组织技术队伍，签订合同时做好项目的整体方案，并书面提出长期保修、维护、服务以及今后技术支持的措施计划和承诺。</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2）测试要求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应用系统安装完成后，供应商应拟出测试计划，经采购人和监管方同意后，按计划进行测试。</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3）试运行期</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①应用软件实施工作根据采购人统一安排分批进行。在完成系统部署及初始化工作后，组织项目初验，初验通过后进入试运行期，试运行期满3个月后组织项目终验。</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②试运行期间项目实施方须面向采购人提供系统使用培训、运行指导及维护服务。</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（2）服务要求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1）中标供应商具有切实可行的质量保证体系，确保软件的开发及服务质量。</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2）为保证系统的正常运行，中标供应商配有较强的专业技术队伍，能提供快捷的运维服务响应。</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3）服务内容包括现场服务、定期巡检、故障服务。</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4）中标供应商应建立运行维护团队，故障响应要求：①提供7×24小时响应。②故障在1小时内响应，如电话、网络等不能解决问题，4小时到现场，24小时解决问题，紧急状况2小时到现场，4小时解决问题。</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5）如遇紧急、重大服务事项，需在保证提供多人、快速服务响应的情况下配合管理方进行现场应急事件处理。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6）中标供应商应有完善的文档管理制度，保证运行维护过程中产生的文档。</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7）在提供运维服务的过程中，获悉的一切资讯需严格遵守保密协议，严禁自行使用或向他人传播，泄漏或擅自使用或允许他人使用上述信息，由此造成的损失应承担相应的法律责任。</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（3）验收要求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①软件完成部署和调试后，采购人将组织履约验收，验收时发现未完成安装部署的、未进行调试的，采购人有权要求供应商立即进行补充。</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（4）维保要求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本项目所有软件系统应提供</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年运维服务，费用包含在总报价中。服务范围应包括错误修复、轻量级需求优化、性能优化、运行环境诊断与保障、定期巡检、日志分析、备份检查、故障处理等内容。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（5）人员要求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①项目经理：1人，具有至少5年以上信息化项目管理经验，不得兼任其他岗位。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②技术负责人：1人，具有至少5年以上信息化项目技术管理经验，不得兼任其他岗位。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③开发人员：不少于4人，具有信息化工作经验，项目开发期间至少1人驻场服务。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④实施人员：不少于2人，须驻场服务，具有信息化工作经验。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⑤项目组所有人员必须为供应商正式工作人员，不得兼任其他项目工作，未经采购人同意，人员不得更换。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（6）知识产权及保密要求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③供应商须按照与采购人签订的《信息安全保密承诺书》的约定严格履行各项保密义务。</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④采购人与供应商都拥有本项目定制开发部分的知识产权。交付项应包括但不限于如下内容：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满足采购人需求的、完整的、可最终良好运行的系统。</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提供项目的最终版本部署包及产品永久授权。</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（7）建设成果要求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供应商在项目建设的各个阶段及时提交建设成果，主要包括但不限于以下内容：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①项目启动阶段：项目实施方案。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②业务需求分析阶段：需求调研方案、需求分析说明书。</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③系统设计、开发阶段：需求规格说明书、概要设计说明书、详细设计说明书、数据库设计说明书、系统接口说明书。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④系统实施阶段：系统上线部署方案、软件安装说明书、软件使用说明书、系统安装光盘、系统培训方案、系统培训手册。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⑤项目验收阶段：测试报告、项目验收方案、系统运行报告、项目验收报告。 </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⑥运行维护阶段：系统维护方案、系统维护手册、系统运行维护记录。</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（8）安全可靠要求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项目涉及的软件、硬件产品满足安全可靠要求。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（9）网络安全等级保护测评要求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供应商配合采购人，做好系统通过等保测评相关准备工作。</w:t>
      </w:r>
      <w:r>
        <w:rPr>
          <w:rFonts w:hint="eastAsia" w:ascii="宋体" w:hAnsi="宋体" w:eastAsia="宋体" w:cs="宋体"/>
          <w:bCs/>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系统对接要求</w:t>
      </w:r>
      <w:r>
        <w:rPr>
          <w:rFonts w:hint="eastAsia" w:ascii="宋体" w:hAnsi="宋体" w:eastAsia="宋体" w:cs="宋体"/>
          <w:bCs/>
          <w:color w:val="000000"/>
          <w:sz w:val="24"/>
          <w:szCs w:val="24"/>
          <w:highlight w:val="none"/>
          <w:lang w:eastAsia="zh-CN"/>
        </w:rPr>
        <w:br w:type="textWrapping" w:clear="all"/>
      </w:r>
      <w:r>
        <w:rPr>
          <w:rFonts w:hint="eastAsia" w:ascii="宋体" w:hAnsi="宋体" w:eastAsia="宋体" w:cs="宋体"/>
          <w:bCs/>
          <w:color w:val="000000"/>
          <w:sz w:val="24"/>
          <w:szCs w:val="24"/>
          <w:highlight w:val="none"/>
          <w:lang w:eastAsia="zh-CN"/>
        </w:rPr>
        <w:t xml:space="preserve">    供应商在提供定制软件开发服务时，需满足以下对接要求：</w:t>
      </w:r>
      <w:r>
        <w:rPr>
          <w:rFonts w:hint="eastAsia" w:ascii="宋体" w:hAnsi="宋体" w:eastAsia="宋体" w:cs="宋体"/>
          <w:bCs/>
          <w:color w:val="000000"/>
          <w:sz w:val="24"/>
          <w:szCs w:val="24"/>
          <w:highlight w:val="none"/>
          <w:lang w:eastAsia="zh-CN"/>
        </w:rPr>
        <w:br w:type="textWrapping" w:clear="all"/>
      </w:r>
      <w:r>
        <w:rPr>
          <w:rFonts w:hint="eastAsia" w:ascii="宋体" w:hAnsi="宋体" w:eastAsia="宋体" w:cs="宋体"/>
          <w:bCs/>
          <w:color w:val="000000"/>
          <w:sz w:val="24"/>
          <w:szCs w:val="24"/>
          <w:highlight w:val="none"/>
          <w:lang w:eastAsia="zh-CN"/>
        </w:rPr>
        <w:t xml:space="preserve">    与南京12345政务热线综合管理平台接口对接；</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与南京市政务云（AI大模型、政务数据共享交换平台、地名地址库）对接。</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对接咨询联系人：王老师，电话：025-68505157</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（11）网络安全和数据安全要求，外包网络安全管理要求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符合网络安全和密码应用要求，符合国家安全可靠应用政策规定。应提供有效的安全保密措施，确保系统和数据资源的安全;不同的操作员具有不同的数据访问权限和功能操作权限，系统管理员应能对各操作员的权限进行配置和管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3.付款条件</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以合同文本内容为准。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4.交付时间及地点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（1）交付时间：合同签订后180天内完成系统开发，365天内完成项目验收及整体交付工作。</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（2）交付地点：采购人指定地点。</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5.履约保证金</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以合同文本内容为准。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6.其他要求</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color w:val="000000"/>
          <w:highlight w:val="none"/>
        </w:rPr>
      </w:pPr>
      <w:r>
        <w:rPr>
          <w:rFonts w:hint="eastAsia"/>
          <w:color w:val="000000"/>
          <w:highlight w:val="none"/>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color w:val="000000"/>
          <w:highlight w:val="none"/>
        </w:rPr>
        <w:br w:type="page" w:clear="all"/>
      </w:r>
      <w:bookmarkStart w:id="59"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X</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1"/>
        <w:ind w:firstLine="48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1"/>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ind w:firstLine="420"/>
        <w:rPr>
          <w:rFonts w:hint="eastAsia" w:ascii="宋体" w:hAnsi="宋体" w:eastAsia="宋体" w:cs="Times New Roman"/>
          <w:b/>
          <w:bCs/>
          <w:i w:val="0"/>
          <w:iCs w:val="0"/>
          <w:caps w:val="0"/>
          <w:color w:val="000000"/>
          <w:spacing w:val="0"/>
          <w:sz w:val="24"/>
          <w:szCs w:val="24"/>
          <w:highlight w:val="none"/>
          <w:shd w:val="clear" w:color="auto" w:fill="auto"/>
          <w:lang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lang w:eastAsia="zh-CN"/>
        </w:rPr>
      </w:r>
      <w:r/>
    </w:p>
    <w:p>
      <w:pPr>
        <w:pStyle w:val="87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1"/>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4"/>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949"/>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lang w:val="en-US" w:eastAsia="zh-CN"/>
              </w:rPr>
              <w:t xml:space="preserve">1</w:t>
            </w:r>
            <w:r>
              <w:rPr>
                <w:rFonts w:hint="eastAsia" w:ascii="宋体" w:hAnsi="宋体" w:eastAsia="宋体" w:cs="宋体"/>
                <w:color w:val="000000"/>
                <w:spacing w:val="-2"/>
                <w:sz w:val="21"/>
                <w:szCs w:val="21"/>
                <w:highlight w:val="none"/>
                <w:lang w:eastAsia="zh-CN"/>
              </w:rPr>
            </w:r>
            <w:r/>
          </w:p>
        </w:tc>
        <w:tc>
          <w:tcPr>
            <w:tcW w:w="1179"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需求理解与</w:t>
            </w:r>
            <w:r>
              <w:rPr>
                <w:rFonts w:ascii="Times New Roman" w:hAnsi="Times New Roman" w:eastAsia="宋体" w:cs="Times New Roman"/>
                <w:color w:val="000000"/>
                <w:sz w:val="21"/>
                <w:szCs w:val="21"/>
                <w:highlight w:val="none"/>
              </w:rPr>
              <w:t xml:space="preserve">总体架构方案</w:t>
            </w:r>
            <w:r>
              <w:rPr>
                <w:rFonts w:hint="eastAsia" w:ascii="Times New Roman" w:hAnsi="Times New Roman" w:eastAsia="宋体" w:cs="Times New Roman"/>
                <w:color w:val="000000"/>
                <w:sz w:val="21"/>
                <w:szCs w:val="21"/>
                <w:highlight w:val="none"/>
              </w:rPr>
            </w:r>
            <w:r/>
          </w:p>
        </w:tc>
        <w:tc>
          <w:tcPr>
            <w:tcW w:w="6330" w:type="dxa"/>
            <w:vAlign w:val="center"/>
            <w:textDirection w:val="lrTb"/>
            <w:noWrap w:val="false"/>
          </w:tcPr>
          <w:p>
            <w:pPr>
              <w:pStyle w:val="871"/>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rPr>
            </w:pPr>
            <w:r/>
            <w:bookmarkStart w:id="60" w:name="OLE_LINK5"/>
            <w:r>
              <w:rPr>
                <w:rFonts w:hint="eastAsia" w:ascii="Times New Roman" w:hAnsi="Times New Roman" w:eastAsia="宋体" w:cs="Times New Roman"/>
                <w:color w:val="000000"/>
                <w:sz w:val="21"/>
                <w:szCs w:val="21"/>
                <w:highlight w:val="none"/>
                <w:lang w:val="en-US"/>
              </w:rPr>
              <w:t xml:space="preserve">根据本项目采购需求编制方案，内容包含：</w:t>
            </w:r>
            <w:r>
              <w:rPr>
                <w:rFonts w:ascii="Times New Roman" w:hAnsi="Times New Roman" w:eastAsia="宋体" w:cs="Times New Roman"/>
                <w:color w:val="000000"/>
                <w:sz w:val="21"/>
                <w:szCs w:val="21"/>
                <w:highlight w:val="none"/>
              </w:rPr>
              <w:t xml:space="preserve">1.需求理解；2.建设目标；3.数据治理与分析模型架构；4.重点难点分析。</w:t>
            </w:r>
            <w:r>
              <w:rPr>
                <w:rFonts w:hint="eastAsia" w:ascii="Times New Roman" w:hAnsi="Times New Roman" w:eastAsia="宋体" w:cs="Times New Roman"/>
                <w:color w:val="000000"/>
                <w:sz w:val="21"/>
                <w:szCs w:val="21"/>
                <w:highlight w:val="none"/>
                <w:lang w:val="en-US"/>
              </w:rPr>
              <w:t xml:space="preserve">以上每项内容逐项评分：</w:t>
            </w:r>
            <w:r>
              <w:rPr>
                <w:rFonts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rPr>
            </w:pPr>
            <w:r>
              <w:rPr>
                <w:rFonts w:ascii="Times New Roman" w:hAnsi="Times New Roman" w:eastAsia="宋体" w:cs="Times New Roman"/>
                <w:color w:val="000000"/>
                <w:sz w:val="21"/>
                <w:szCs w:val="21"/>
                <w:highlight w:val="none"/>
                <w:lang w:val="en-US"/>
              </w:rPr>
              <w:t xml:space="preserve">方案内容</w:t>
            </w:r>
            <w:r>
              <w:rPr>
                <w:rFonts w:hint="eastAsia" w:ascii="Times New Roman" w:hAnsi="Times New Roman" w:eastAsia="宋体" w:cs="Times New Roman"/>
                <w:color w:val="000000"/>
                <w:sz w:val="21"/>
                <w:szCs w:val="21"/>
                <w:highlight w:val="none"/>
                <w:lang w:val="en-US"/>
              </w:rPr>
              <w:t xml:space="preserve">质量标准高、工作流程具体、可操作性强，且</w:t>
            </w:r>
            <w:r>
              <w:rPr>
                <w:rFonts w:ascii="Times New Roman" w:hAnsi="Times New Roman" w:eastAsia="宋体" w:cs="Times New Roman"/>
                <w:color w:val="000000"/>
                <w:sz w:val="21"/>
                <w:szCs w:val="21"/>
                <w:highlight w:val="none"/>
                <w:lang w:val="en-US"/>
              </w:rPr>
              <w:t xml:space="preserve">专门针对本项目，符合采购需求和实际情况视为符合；方案内容属于通用类，非专门针对本项目，部分符合实际情况视为部分符合；方案内容</w:t>
            </w:r>
            <w:r>
              <w:rPr>
                <w:rFonts w:hint="eastAsia" w:ascii="Times New Roman" w:hAnsi="Times New Roman" w:eastAsia="宋体" w:cs="Times New Roman"/>
                <w:color w:val="000000"/>
                <w:sz w:val="21"/>
                <w:szCs w:val="21"/>
                <w:highlight w:val="none"/>
                <w:lang w:val="en-US"/>
              </w:rPr>
              <w:t xml:space="preserve">完全套用</w:t>
            </w:r>
            <w:r>
              <w:rPr>
                <w:rFonts w:ascii="Times New Roman" w:hAnsi="Times New Roman" w:eastAsia="宋体" w:cs="Times New Roman"/>
                <w:color w:val="000000"/>
                <w:sz w:val="21"/>
                <w:szCs w:val="21"/>
                <w:highlight w:val="none"/>
                <w:lang w:val="en-US"/>
              </w:rPr>
              <w:t xml:space="preserve">采购需求，非专门针对本项目，不符合实际情况或未提供视为不符合。</w:t>
            </w:r>
            <w:r>
              <w:rPr>
                <w:rFonts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rPr>
              <w:t xml:space="preserve">2</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rPr>
              <w:t xml:space="preserve">1</w:t>
            </w:r>
            <w:r>
              <w:rPr>
                <w:rFonts w:ascii="Times New Roman" w:hAnsi="Times New Roman" w:eastAsia="宋体" w:cs="Times New Roman"/>
                <w:color w:val="000000"/>
                <w:sz w:val="21"/>
                <w:szCs w:val="21"/>
                <w:highlight w:val="none"/>
                <w:lang w:val="en-US"/>
              </w:rPr>
              <w:t xml:space="preserve">分；不符合或不提供不得分。</w:t>
            </w:r>
            <w:bookmarkEnd w:id="60"/>
            <w:r>
              <w:rPr>
                <w:rFonts w:ascii="Times New Roman" w:hAnsi="Times New Roman" w:eastAsia="宋体" w:cs="Times New Roman"/>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2.2</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rPr>
              <w:t xml:space="preserve">核心功能技术方案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根据本项目采购需求编制方案，内容包含：1.智能专题分析功能方案；2.聚类挖掘研判功能方案；3.效能监督评价方案；4.全量态势感知方案；5.数据底座治理方案。以上每项内容逐项评分：</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方案内容设计思路清晰、技术路线先进、可行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rPr>
              <w:t xml:space="preserve">上述每项内容符合得2分；部分符合得1分；不符合或不提供不得分。</w:t>
            </w:r>
            <w:r>
              <w:rPr>
                <w:rFonts w:hint="eastAsia" w:ascii="Times New Roman" w:hAnsi="Times New Roman" w:eastAsia="宋体" w:cs="Times New Roman"/>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2.3</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项目实施及质量控制方案</w:t>
            </w:r>
            <w:r>
              <w:rPr>
                <w:rFonts w:ascii="Times New Roman" w:hAnsi="Times New Roman" w:eastAsia="宋体" w:cs="Times New Roman"/>
                <w:color w:val="000000"/>
                <w:sz w:val="21"/>
                <w:szCs w:val="21"/>
                <w:highlight w:val="none"/>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根据本项目采购需求编制方案，内容包含：1.进度计划安排；2.质量保障机制；3.人员调配；4.试运行保障。以上每项内容逐项评分：</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案内容详尽严密、节点清晰合理、可落地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上述每项内容符合得2分；部分符合得1分；不符合或不提供不得分。</w:t>
            </w:r>
            <w:r>
              <w:rPr>
                <w:rFonts w:hint="eastAsia" w:ascii="Times New Roman" w:hAnsi="Times New Roman" w:eastAsia="宋体" w:cs="Times New Roman"/>
                <w:color w:val="000000"/>
                <w:sz w:val="21"/>
                <w:szCs w:val="21"/>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889"/>
        </w:trPr>
        <w:tc>
          <w:tcPr>
            <w:tcW w:w="519"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2.4</w:t>
            </w:r>
            <w:r>
              <w:rPr>
                <w:rFonts w:hint="eastAsia" w:ascii="Times New Roman" w:hAnsi="Times New Roman" w:eastAsia="宋体" w:cs="Times New Roman"/>
                <w:color w:val="000000"/>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安全与数据治理方案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根据本项目采购需求编制方案，内容包含：1.安全保障与权限控制；2.数据清洗规范与标签体系；3.应急处置预案。以上每项内容逐项评分：</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方案内容严密完善、规范性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rPr>
              <w:t xml:space="preserve">上述每项内容符合得2分；部分符合得1分；不符合或不提供不得分。</w:t>
            </w:r>
            <w:r>
              <w:rPr>
                <w:rFonts w:hint="eastAsia" w:ascii="Times New Roman" w:hAnsi="Times New Roman" w:eastAsia="宋体" w:cs="Times New Roman"/>
                <w:color w:val="000000"/>
                <w:sz w:val="21"/>
                <w:szCs w:val="21"/>
                <w:highlight w:val="none"/>
                <w:lang w:val="en-US" w:eastAsia="zh-CN"/>
              </w:rPr>
            </w:r>
            <w:r/>
          </w:p>
        </w:tc>
        <w:tc>
          <w:tcPr>
            <w:tcW w:w="647" w:type="dxa"/>
            <w:vAlign w:val="center"/>
            <w:textDirection w:val="lrTb"/>
            <w:noWrap w:val="false"/>
          </w:tcPr>
          <w:p>
            <w:pPr>
              <w:pStyle w:val="871"/>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  6</w:t>
            </w:r>
            <w:r>
              <w:rPr>
                <w:rFonts w:ascii="Times New Roman" w:hAnsi="Times New Roman" w:eastAsia="宋体" w:cs="Times New Roman"/>
                <w:color w:val="000000"/>
                <w:sz w:val="21"/>
                <w:szCs w:val="21"/>
                <w:highlight w:val="none"/>
                <w:lang w:val="en-US" w:eastAsia="zh-CN"/>
              </w:rPr>
            </w:r>
            <w:r/>
          </w:p>
        </w:tc>
        <w:tc>
          <w:tcPr>
            <w:tcW w:w="90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主观分</w:t>
            </w:r>
            <w:r>
              <w:rPr>
                <w:rFonts w:hint="eastAsia" w:ascii="Times New Roman" w:hAnsi="Times New Roman" w:eastAsia="宋体" w:cs="Times New Roman"/>
                <w:color w:val="000000"/>
                <w:sz w:val="21"/>
                <w:szCs w:val="21"/>
                <w:highlight w:val="none"/>
                <w:lang w:val="en-US"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2.5</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视频演示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评委根据</w:t>
            </w:r>
            <w:r>
              <w:rPr>
                <w:rFonts w:hint="eastAsia" w:ascii="Times New Roman" w:hAnsi="Times New Roman" w:eastAsia="宋体" w:cs="Times New Roman"/>
                <w:color w:val="000000"/>
                <w:sz w:val="21"/>
                <w:szCs w:val="21"/>
                <w:highlight w:val="none"/>
                <w:lang w:val="en-US" w:eastAsia="zh-CN"/>
              </w:rPr>
              <w:t xml:space="preserve">投标人提供的演示视频（总演示时间不超过5分钟）综合评分。演示视频包括以下内容： </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（1）智能专题分析（如：民生热点、企业热点、重点工作、智能报告等）；</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（2）关联分析研判（如：高频事件、高频主体、热点事件、一人多诉、敏感事件等）；</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（3）效能监督评价（如：办理分析、不满意分析等）；</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（4）全量态势感知（如：运行统览、多维分析、滚动展示等）。</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采用类似真实系统演示，每小项功能完整准确演示得5分，最多得2</w:t>
            </w:r>
            <w:r>
              <w:rPr>
                <w:rFonts w:hint="eastAsia" w:ascii="宋体" w:hAnsi="宋体" w:eastAsia="宋体" w:cs="宋体"/>
                <w:color w:val="000000"/>
                <w:sz w:val="21"/>
                <w:szCs w:val="21"/>
                <w:highlight w:val="none"/>
                <w:lang w:val="en-US" w:eastAsia="zh-CN"/>
              </w:rPr>
              <w:t xml:space="preserve">0分</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采用系统原型（</w:t>
            </w:r>
            <w:r>
              <w:rPr>
                <w:rFonts w:ascii="Times New Roman" w:hAnsi="Times New Roman" w:eastAsia="宋体" w:cs="Times New Roman"/>
                <w:color w:val="000000"/>
                <w:sz w:val="21"/>
                <w:szCs w:val="21"/>
                <w:highlight w:val="none"/>
                <w:lang w:val="en-US" w:eastAsia="zh-CN"/>
              </w:rPr>
              <w:t xml:space="preserve">DEMO</w:t>
            </w:r>
            <w:r>
              <w:rPr>
                <w:rFonts w:hint="eastAsia" w:ascii="Times New Roman" w:hAnsi="Times New Roman" w:eastAsia="宋体" w:cs="Times New Roman"/>
                <w:color w:val="000000"/>
                <w:sz w:val="21"/>
                <w:szCs w:val="21"/>
                <w:highlight w:val="none"/>
                <w:lang w:val="en-US" w:eastAsia="zh-CN"/>
              </w:rPr>
              <w:t xml:space="preserve">）演示，每小项功能完整准确演示</w:t>
            </w:r>
            <w:r>
              <w:rPr>
                <w:rFonts w:hint="eastAsia" w:ascii="宋体" w:hAnsi="宋体" w:eastAsia="宋体" w:cs="宋体"/>
                <w:color w:val="000000"/>
                <w:sz w:val="21"/>
                <w:szCs w:val="21"/>
                <w:highlight w:val="none"/>
                <w:lang w:val="en-US" w:eastAsia="zh-CN"/>
              </w:rPr>
              <w:t xml:space="preserve">得2.5分</w:t>
            </w:r>
            <w:r>
              <w:rPr>
                <w:rFonts w:hint="eastAsia" w:ascii="Times New Roman" w:hAnsi="Times New Roman" w:eastAsia="宋体" w:cs="Times New Roman"/>
                <w:color w:val="000000"/>
                <w:sz w:val="21"/>
                <w:szCs w:val="21"/>
                <w:highlight w:val="none"/>
                <w:lang w:val="en-US" w:eastAsia="zh-CN"/>
              </w:rPr>
              <w:t xml:space="preserve">，最多</w:t>
            </w:r>
            <w:r>
              <w:rPr>
                <w:rFonts w:hint="eastAsia" w:ascii="宋体" w:hAnsi="宋体" w:eastAsia="宋体" w:cs="宋体"/>
                <w:color w:val="000000"/>
                <w:sz w:val="21"/>
                <w:szCs w:val="21"/>
                <w:highlight w:val="none"/>
                <w:lang w:val="en-US" w:eastAsia="zh-CN"/>
              </w:rPr>
              <w:t xml:space="preserve">得10分</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采用PPT等方式演示，每小项功能完整准确演示得1.25分，最多得5分。 </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64" w:lineRule="auto"/>
              <w:widowControl w:val="off"/>
              <w:rPr>
                <w:color w:val="000000"/>
                <w:sz w:val="21"/>
                <w:szCs w:val="21"/>
                <w:highlight w:val="none"/>
                <w:lang w:val="zh-CN" w:eastAsia="zh-CN"/>
              </w:rPr>
            </w:pPr>
            <w:r>
              <w:rPr>
                <w:rFonts w:hint="eastAsia" w:ascii="Times New Roman" w:hAnsi="Times New Roman" w:eastAsia="宋体" w:cs="Times New Roman"/>
                <w:color w:val="000000"/>
                <w:sz w:val="21"/>
                <w:szCs w:val="21"/>
                <w:highlight w:val="none"/>
                <w:lang w:val="en-US" w:eastAsia="zh-CN"/>
              </w:rPr>
              <w:t xml:space="preserve">（未提供视频文件或因投标人自身原因视频文件无法打开或视频画面不清晰无法辨认的不得分。）</w:t>
            </w:r>
            <w:r>
              <w:rPr>
                <w:color w:val="000000"/>
                <w:sz w:val="21"/>
                <w:szCs w:val="21"/>
                <w:highlight w:val="none"/>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运维服务与培训方案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根据本项目采购需求编制方案，内容包含：1.运维内容与方式；2.响应与应急机制；3.运维人员及服务流程；4、培训计划</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rPr>
              <w:t xml:space="preserve">至少明确培训目标、培训对象、培训内容、培训次数、培训方式和培训效果考核。</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rPr>
              <w:t xml:space="preserve">以上每项内容逐项评分：</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highlight w:val="none"/>
                <w:lang w:val="en-US"/>
              </w:rPr>
            </w:r>
            <w:r/>
          </w:p>
          <w:p>
            <w:pPr>
              <w:pStyle w:val="871"/>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zh-CN" w:eastAsia="zh-CN"/>
              </w:rPr>
            </w:pPr>
            <w:r>
              <w:rPr>
                <w:rFonts w:hint="eastAsia" w:ascii="Times New Roman" w:hAnsi="Times New Roman" w:eastAsia="宋体" w:cs="Times New Roman"/>
                <w:color w:val="000000"/>
                <w:sz w:val="21"/>
                <w:szCs w:val="21"/>
                <w:highlight w:val="none"/>
                <w:lang w:val="en-US"/>
              </w:rPr>
              <w:t xml:space="preserve">上述每项内容符合得</w:t>
            </w: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hint="eastAsia" w:ascii="Times New Roman" w:hAnsi="Times New Roman" w:eastAsia="宋体" w:cs="Times New Roman"/>
                <w:color w:val="000000"/>
                <w:sz w:val="21"/>
                <w:szCs w:val="21"/>
                <w:highlight w:val="none"/>
                <w:lang w:val="en-US"/>
              </w:rPr>
              <w:t xml:space="preserve">分；不符合或不提供不得分。</w:t>
            </w:r>
            <w:r>
              <w:rPr>
                <w:rFonts w:ascii="Times New Roman" w:hAnsi="Times New Roman" w:eastAsia="宋体" w:cs="Times New Roman"/>
                <w:color w:val="000000"/>
                <w:sz w:val="21"/>
                <w:szCs w:val="21"/>
                <w:highlight w:val="none"/>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投标人中标后能够提供本地化服务的得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分。（提供承诺书或有效证明材料）</w:t>
            </w:r>
            <w:r>
              <w:rPr>
                <w:rFonts w:hint="eastAsia" w:ascii="宋体" w:hAnsi="宋体" w:eastAsia="宋体" w:cs="宋体"/>
                <w:color w:val="000000"/>
                <w:spacing w:val="-2"/>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w:t>
            </w:r>
            <w:r>
              <w:rPr>
                <w:rFonts w:ascii="宋体" w:hAnsi="宋体" w:eastAsia="宋体" w:cs="宋体"/>
                <w:color w:val="000000"/>
                <w:sz w:val="21"/>
                <w:szCs w:val="21"/>
                <w:highlight w:val="none"/>
                <w:lang w:val="en-US" w:eastAsia="zh-CN"/>
              </w:rPr>
              <w:t xml:space="preserve">（含）以来类似项目业绩</w:t>
            </w:r>
            <w:r>
              <w:rPr>
                <w:rFonts w:hint="eastAsia" w:ascii="宋体" w:hAnsi="宋体" w:eastAsia="宋体" w:cs="宋体"/>
                <w:color w:val="000000"/>
                <w:sz w:val="21"/>
                <w:szCs w:val="21"/>
                <w:highlight w:val="none"/>
                <w:lang w:val="en-US" w:eastAsia="zh-CN"/>
              </w:rPr>
              <w:t xml:space="preserve">（至少包含</w:t>
            </w:r>
            <w:r>
              <w:rPr>
                <w:rFonts w:ascii="宋体" w:hAnsi="宋体" w:eastAsia="宋体" w:cs="宋体"/>
                <w:color w:val="000000"/>
                <w:sz w:val="21"/>
                <w:szCs w:val="21"/>
                <w:highlight w:val="none"/>
                <w:lang w:val="en-US" w:eastAsia="zh-CN"/>
              </w:rPr>
              <w:t xml:space="preserve">政务热线</w:t>
            </w:r>
            <w:r>
              <w:rPr>
                <w:rFonts w:hint="eastAsia" w:ascii="宋体" w:hAnsi="宋体" w:eastAsia="宋体" w:cs="宋体"/>
                <w:color w:val="000000"/>
                <w:sz w:val="21"/>
                <w:szCs w:val="21"/>
                <w:highlight w:val="none"/>
                <w:lang w:val="en-US" w:eastAsia="zh-CN"/>
              </w:rPr>
              <w:t xml:space="preserve">或</w:t>
            </w:r>
            <w:r>
              <w:rPr>
                <w:rFonts w:ascii="宋体" w:hAnsi="宋体" w:eastAsia="宋体" w:cs="宋体"/>
                <w:color w:val="000000"/>
                <w:sz w:val="21"/>
                <w:szCs w:val="21"/>
                <w:highlight w:val="none"/>
                <w:lang w:val="en-US" w:eastAsia="zh-CN"/>
              </w:rPr>
              <w:t xml:space="preserve">政务数据分析</w:t>
            </w:r>
            <w:r>
              <w:rPr>
                <w:rFonts w:hint="eastAsia" w:ascii="宋体" w:hAnsi="宋体" w:eastAsia="宋体" w:cs="宋体"/>
                <w:color w:val="000000"/>
                <w:sz w:val="21"/>
                <w:szCs w:val="21"/>
                <w:highlight w:val="none"/>
                <w:lang w:val="en-US" w:eastAsia="zh-CN"/>
              </w:rPr>
              <w:t xml:space="preserve">或</w:t>
            </w:r>
            <w:r>
              <w:rPr>
                <w:rFonts w:ascii="宋体" w:hAnsi="宋体" w:eastAsia="宋体" w:cs="宋体"/>
                <w:color w:val="000000"/>
                <w:sz w:val="21"/>
                <w:szCs w:val="21"/>
                <w:highlight w:val="none"/>
                <w:lang w:val="en-US" w:eastAsia="zh-CN"/>
              </w:rPr>
              <w:t xml:space="preserve">大数据类</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项目经理能</w:t>
            </w:r>
            <w:r>
              <w:rPr>
                <w:rFonts w:hint="eastAsia" w:ascii="宋体" w:hAnsi="宋体" w:eastAsia="宋体" w:cs="宋体"/>
                <w:color w:val="000000"/>
                <w:sz w:val="21"/>
                <w:szCs w:val="21"/>
                <w:highlight w:val="none"/>
                <w:lang w:val="en-US" w:eastAsia="zh-CN"/>
              </w:rPr>
              <w:t xml:space="preserve">力：</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具有有效的信息系统项目管理师（高级）证书得5分。</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color w:val="000000"/>
                <w:sz w:val="21"/>
                <w:szCs w:val="21"/>
                <w:highlight w:val="none"/>
                <w:lang w:val="en-US" w:eastAsia="zh-CN"/>
              </w:rPr>
            </w:pPr>
            <w:r>
              <w:rPr>
                <w:rFonts w:ascii="宋体" w:hAnsi="宋体" w:eastAsia="宋体" w:cs="宋体"/>
                <w:color w:val="000000"/>
                <w:sz w:val="21"/>
                <w:szCs w:val="21"/>
                <w:highlight w:val="none"/>
                <w:lang w:val="zh-CN" w:eastAsia="zh-CN"/>
              </w:rPr>
              <w:t xml:space="preserve">（提供上述</w:t>
            </w:r>
            <w:r>
              <w:rPr>
                <w:rFonts w:hint="eastAsia" w:ascii="宋体" w:hAnsi="宋体" w:eastAsia="宋体" w:cs="宋体"/>
                <w:color w:val="000000"/>
                <w:sz w:val="21"/>
                <w:szCs w:val="21"/>
                <w:highlight w:val="none"/>
                <w:lang w:val="zh-CN" w:eastAsia="zh-CN"/>
              </w:rPr>
              <w:t xml:space="preserve">人员</w:t>
            </w:r>
            <w:r>
              <w:rPr>
                <w:rFonts w:ascii="宋体" w:hAnsi="宋体" w:eastAsia="宋体" w:cs="宋体"/>
                <w:color w:val="000000"/>
                <w:sz w:val="21"/>
                <w:szCs w:val="21"/>
                <w:highlight w:val="none"/>
                <w:lang w:val="zh-CN" w:eastAsia="zh-CN"/>
              </w:rPr>
              <w:t xml:space="preserve">证书</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投标人为其缴纳的2026年1月以来任意一个月的社保证明材料，缺一不可）</w:t>
            </w:r>
            <w:r>
              <w:rPr>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技术负责人能力：</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具有电子信息工程高级工程师职称证书得5分。</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zh-CN" w:eastAsia="zh-CN"/>
              </w:rPr>
              <w:t xml:space="preserve">（提供上述</w:t>
            </w:r>
            <w:r>
              <w:rPr>
                <w:rFonts w:hint="eastAsia" w:ascii="宋体" w:hAnsi="宋体" w:eastAsia="宋体" w:cs="宋体"/>
                <w:color w:val="000000"/>
                <w:sz w:val="21"/>
                <w:szCs w:val="21"/>
                <w:highlight w:val="none"/>
                <w:lang w:val="zh-CN" w:eastAsia="zh-CN"/>
              </w:rPr>
              <w:t xml:space="preserve">人员</w:t>
            </w:r>
            <w:r>
              <w:rPr>
                <w:rFonts w:ascii="宋体" w:hAnsi="宋体" w:eastAsia="宋体" w:cs="宋体"/>
                <w:color w:val="000000"/>
                <w:sz w:val="21"/>
                <w:szCs w:val="21"/>
                <w:highlight w:val="none"/>
                <w:lang w:val="zh-CN" w:eastAsia="zh-CN"/>
              </w:rPr>
              <w:t xml:space="preserve">证书</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投标人为其缴纳的2026年1月以来任意一个月的社保证明材料，缺一不可）</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lang w:val="en-US" w:eastAsia="zh-CN"/>
              </w:rPr>
              <w:t xml:space="preserve">3</w:t>
            </w:r>
            <w:r>
              <w:rPr>
                <w:rFonts w:hint="eastAsia" w:ascii="宋体" w:hAnsi="宋体" w:eastAsia="宋体" w:cs="宋体"/>
                <w:color w:val="000000"/>
                <w:spacing w:val="-2"/>
                <w:sz w:val="21"/>
                <w:szCs w:val="21"/>
                <w:highlight w:val="none"/>
                <w:lang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项目实施团队能力（不含项目经理和技术负责人）：</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具有信息系统项目管理师证书、电子信息工程中级工程师证书、注册信息安全工程师（CISP）证书、中级软件设计师证书、系统集成项目管理工程师证书。每提供一人得2分，最多得10分。</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（多人一证、一人多证不重复计分，提供团队成员证书</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投标人为其缴纳的2026年1月以来任意一个月的社保证明材料，缺一不可）</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5.4</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4</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投标人具有本项目相关的软件著作权证书，包括“智能分析与管理、数据资源探查、数据治理”等关键词，每提供1个证书得2分。</w:t>
            </w:r>
            <w:r>
              <w:rPr>
                <w:rFonts w:hint="eastAsia"/>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1"/>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1"/>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1"/>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59"/>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1"/>
        <w:jc w:val="center"/>
        <w:rPr>
          <w:rFonts w:hint="eastAsia" w:ascii="宋体" w:hAnsi="宋体"/>
          <w:b/>
          <w:color w:val="000000"/>
          <w:sz w:val="72"/>
          <w:highlight w:val="none"/>
        </w:rPr>
      </w:pPr>
      <w:r/>
      <w:bookmarkStart w:id="61" w:name="_Toc120614282"/>
      <w:r/>
      <w:bookmarkStart w:id="62" w:name="_Toc49090576"/>
      <w:r/>
      <w:bookmarkStart w:id="63" w:name="_Toc26554094"/>
      <w:r/>
      <w:bookmarkStart w:id="64" w:name="_Hlt26671244"/>
      <w:r/>
      <w:bookmarkEnd w:id="64"/>
      <w:r/>
      <w:bookmarkStart w:id="65" w:name="_Hlt26955039"/>
      <w:r/>
      <w:bookmarkEnd w:id="65"/>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71"/>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highlight w:val="none"/>
        </w:rPr>
      </w:pPr>
      <w:r>
        <w:rPr>
          <w:rFonts w:ascii="宋体" w:hAnsi="宋体"/>
          <w:color w:val="000000"/>
          <w:highlight w:val="none"/>
        </w:rPr>
      </w:r>
      <w:r/>
    </w:p>
    <w:p>
      <w:pPr>
        <w:pStyle w:val="871"/>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val="en-US" w:eastAsia="zh-CN"/>
        </w:rPr>
        <w:t xml:space="preserve">一</w:t>
      </w:r>
      <w:r>
        <w:rPr>
          <w:rFonts w:hint="eastAsia" w:ascii="宋体" w:hAnsi="宋体" w:cs="宋体"/>
          <w:color w:val="000000"/>
          <w:sz w:val="28"/>
          <w:szCs w:val="28"/>
          <w:highlight w:val="none"/>
        </w:rPr>
        <w:t xml:space="preserve">、关于符合本国产品标准的声明函（如有）</w:t>
      </w:r>
      <w:r>
        <w:rPr>
          <w:rFonts w:hint="eastAsia" w:ascii="宋体" w:hAnsi="宋体" w:cs="宋体"/>
          <w:color w:val="000000"/>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956"/>
        <w:rPr>
          <w:rFonts w:ascii="宋体" w:hAnsi="宋体"/>
          <w:color w:val="000000"/>
          <w:sz w:val="24"/>
          <w:highlight w:val="none"/>
        </w:rPr>
      </w:pPr>
      <w:r>
        <w:rPr>
          <w:rFonts w:ascii="宋体" w:hAnsi="宋体"/>
          <w:color w:val="000000"/>
          <w:sz w:val="24"/>
          <w:highlight w:val="none"/>
        </w:rPr>
      </w:r>
      <w:r/>
    </w:p>
    <w:p>
      <w:pPr>
        <w:pStyle w:val="956"/>
        <w:rPr>
          <w:rFonts w:ascii="宋体" w:hAnsi="宋体"/>
          <w:color w:val="000000"/>
          <w:sz w:val="24"/>
          <w:highlight w:val="none"/>
        </w:rPr>
      </w:pPr>
      <w:r>
        <w:rPr>
          <w:rFonts w:ascii="宋体" w:hAnsi="宋体"/>
          <w:color w:val="000000"/>
          <w:sz w:val="24"/>
          <w:highlight w:val="none"/>
        </w:rPr>
      </w:r>
      <w:r/>
    </w:p>
    <w:p>
      <w:pPr>
        <w:pStyle w:val="956"/>
        <w:rPr>
          <w:rFonts w:ascii="宋体" w:hAnsi="宋体"/>
          <w:color w:val="000000"/>
          <w:sz w:val="24"/>
          <w:highlight w:val="none"/>
        </w:rPr>
      </w:pPr>
      <w:r>
        <w:rPr>
          <w:rFonts w:ascii="宋体" w:hAnsi="宋体"/>
          <w:color w:val="000000"/>
          <w:sz w:val="24"/>
          <w:highlight w:val="none"/>
        </w:rPr>
      </w:r>
      <w:r/>
    </w:p>
    <w:p>
      <w:pPr>
        <w:pStyle w:val="956"/>
        <w:rPr>
          <w:rFonts w:ascii="宋体" w:hAnsi="宋体"/>
          <w:color w:val="000000"/>
          <w:sz w:val="24"/>
          <w:highlight w:val="none"/>
        </w:rPr>
      </w:pPr>
      <w:r>
        <w:rPr>
          <w:rFonts w:ascii="宋体" w:hAnsi="宋体"/>
          <w:color w:val="000000"/>
          <w:sz w:val="24"/>
          <w:highlight w:val="none"/>
        </w:rPr>
      </w:r>
      <w:r/>
    </w:p>
    <w:p>
      <w:pPr>
        <w:pStyle w:val="956"/>
        <w:rPr>
          <w:rFonts w:ascii="宋体" w:hAnsi="宋体"/>
          <w:color w:val="000000"/>
          <w:sz w:val="24"/>
          <w:highlight w:val="none"/>
        </w:rPr>
      </w:pPr>
      <w:r>
        <w:rPr>
          <w:rFonts w:ascii="宋体" w:hAnsi="宋体"/>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bookmarkEnd w:id="61"/>
      <w:r/>
      <w:bookmarkEnd w:id="62"/>
      <w:r/>
      <w:bookmarkEnd w:id="63"/>
      <w:r/>
      <w:bookmarkStart w:id="66" w:name="_Toc120614284"/>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3"/>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5"/>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5"/>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5"/>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5"/>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85"/>
        <w:ind w:firstLine="0"/>
        <w:rPr>
          <w:rFonts w:hint="eastAsia"/>
          <w:color w:val="000000"/>
          <w:highlight w:val="none"/>
        </w:rPr>
      </w:pPr>
      <w:r>
        <w:rPr>
          <w:rFonts w:hint="eastAsia"/>
          <w:color w:val="000000"/>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7"/>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967"/>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871"/>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40"/>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7"/>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7"/>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1"/>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7"/>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7"/>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1"/>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1"/>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7"/>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1"/>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40"/>
        <w:rPr>
          <w:rFonts w:hint="eastAsia"/>
          <w:color w:val="000000"/>
          <w:highlight w:val="none"/>
        </w:rPr>
      </w:pPr>
      <w:r>
        <w:rPr>
          <w:rFonts w:hint="eastAsia"/>
          <w:color w:val="000000"/>
          <w:highlight w:val="none"/>
        </w:rPr>
      </w:r>
      <w:r/>
    </w:p>
    <w:p>
      <w:pPr>
        <w:pStyle w:val="871"/>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40"/>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940"/>
        <w:rPr>
          <w:rFonts w:hint="eastAsia"/>
          <w:color w:val="000000"/>
          <w:highlight w:val="none"/>
          <w:lang w:val="en-US" w:eastAsia="zh-CN"/>
        </w:rPr>
      </w:pPr>
      <w:r>
        <w:rPr>
          <w:rFonts w:hint="eastAsia"/>
          <w:color w:val="000000"/>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w:t>
      </w:r>
      <w:r>
        <w:rPr>
          <w:rFonts w:hint="eastAsia" w:ascii="黑体" w:hAnsi="黑体" w:eastAsia="黑体" w:cs="Times New Roman"/>
          <w:i w:val="0"/>
          <w:color w:val="00000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7"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7"/>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871"/>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871"/>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b/>
          <w:bCs/>
          <w:color w:val="000000"/>
          <w:highlight w:val="none"/>
        </w:rPr>
      </w:r>
      <w:r/>
    </w:p>
    <w:p>
      <w:pPr>
        <w:pStyle w:val="934"/>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6"/>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color w:val="000000"/>
                <w:highlight w:val="none"/>
              </w:rPr>
            </w:pPr>
            <w:r>
              <w:rPr>
                <w:color w:val="000000"/>
                <w:highlight w:val="none"/>
              </w:rPr>
            </w:r>
            <w:r/>
          </w:p>
          <w:p>
            <w:pPr>
              <w:pStyle w:val="940"/>
              <w:rPr>
                <w:rFonts w:hint="eastAsia"/>
                <w:color w:val="000000"/>
                <w:highlight w:val="none"/>
              </w:rPr>
            </w:pPr>
            <w:r>
              <w:rPr>
                <w:rFonts w:hint="eastAsia"/>
                <w:color w:val="000000"/>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4"/>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highlight w:val="none"/>
              </w:rPr>
            </w:pPr>
            <w:r/>
            <w:bookmarkStart w:id="68" w:name="_Hlt26782999"/>
            <w:r/>
            <w:bookmarkEnd w:id="68"/>
            <w:r/>
            <w:bookmarkStart w:id="69" w:name="_Hlt26580838"/>
            <w:r/>
            <w:bookmarkEnd w:id="69"/>
            <w:r/>
            <w:bookmarkStart w:id="70" w:name="_Hlt26955056"/>
            <w:r/>
            <w:bookmarkEnd w:id="70"/>
            <w:r/>
            <w:bookmarkStart w:id="71" w:name="_Hlt26671372"/>
            <w:r/>
            <w:bookmarkEnd w:id="71"/>
            <w:r/>
            <w:bookmarkStart w:id="72" w:name="_Hlt26609391"/>
            <w:r/>
            <w:bookmarkEnd w:id="72"/>
            <w:r/>
            <w:bookmarkStart w:id="73" w:name="_Hlt26671343"/>
            <w:r/>
            <w:bookmarkEnd w:id="73"/>
            <w:r/>
            <w:bookmarkStart w:id="74" w:name="_Hlt24879081"/>
            <w:r/>
            <w:bookmarkEnd w:id="74"/>
            <w:r/>
            <w:bookmarkStart w:id="75" w:name="_Hlt26955064"/>
            <w:r/>
            <w:bookmarkEnd w:id="7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color w:val="000000"/>
                <w:highlight w:val="none"/>
              </w:rPr>
            </w:pPr>
            <w:r>
              <w:rPr>
                <w:color w:val="000000"/>
                <w:highlight w:val="none"/>
              </w:rPr>
            </w:r>
            <w:r/>
          </w:p>
          <w:p>
            <w:pPr>
              <w:pStyle w:val="940"/>
              <w:rPr>
                <w:rFonts w:hint="eastAsia"/>
                <w:color w:val="000000"/>
                <w:highlight w:val="none"/>
              </w:rPr>
            </w:pPr>
            <w:r>
              <w:rPr>
                <w:rFonts w:hint="eastAsia"/>
                <w:color w:val="000000"/>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0"/>
        <w:rPr>
          <w:rFonts w:hint="eastAsia"/>
          <w:color w:val="000000"/>
          <w:highlight w:val="none"/>
        </w:rPr>
      </w:pPr>
      <w:r>
        <w:rPr>
          <w:rFonts w:hint="eastAsia"/>
          <w:color w:val="000000"/>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0"/>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71"/>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71"/>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spacing w:line="480" w:lineRule="exact"/>
        <w:rPr>
          <w:rFonts w:ascii="宋体" w:hAnsi="宋体"/>
          <w:color w:val="000000"/>
          <w:sz w:val="24"/>
          <w:highlight w:val="none"/>
        </w:rPr>
      </w:pPr>
      <w:r>
        <w:rPr>
          <w:rFonts w:ascii="宋体" w:hAnsi="宋体"/>
          <w:color w:val="000000"/>
          <w:sz w:val="24"/>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十、联合体协议</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1"/>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1"/>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1"/>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color w:val="000000"/>
          <w:sz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除另有说明外，本</w:t>
      </w:r>
      <w:r>
        <w:rPr>
          <w:rFonts w:hint="eastAsia" w:ascii="宋体" w:hAnsi="宋体" w:eastAsia="宋体" w:cs="Times New Roman"/>
          <w:b/>
          <w:bCs/>
          <w:color w:val="000000"/>
          <w:sz w:val="24"/>
          <w:highlight w:val="none"/>
        </w:rPr>
        <w:t xml:space="preserve">招标文件要求加盖电子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之处</w:t>
      </w:r>
      <w:r>
        <w:rPr>
          <w:rFonts w:hint="eastAsia" w:ascii="宋体" w:hAnsi="宋体" w:eastAsia="宋体" w:cs="Times New Roman"/>
          <w:b/>
          <w:bCs/>
          <w:color w:val="000000"/>
          <w:sz w:val="24"/>
          <w:highlight w:val="none"/>
        </w:rPr>
        <w:t xml:space="preserve">，加盖牵头单位的电子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即可</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p>
      <w:pPr>
        <w:pStyle w:val="94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1"/>
        <w:rPr>
          <w:rFonts w:hint="eastAsia"/>
          <w:color w:val="000000"/>
          <w:highlight w:val="none"/>
        </w:rPr>
      </w:pP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71"/>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十一、关于符合本国产品标准的声明函</w:t>
      </w:r>
      <w:r>
        <w:rPr>
          <w:rFonts w:hint="eastAsia" w:ascii="宋体" w:hAnsi="宋体" w:eastAsia="宋体" w:cs="Times New Roman"/>
          <w:color w:val="000000"/>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6"/>
          <w:rFonts w:hint="eastAsia"/>
          <w:i w:val="0"/>
          <w:color w:val="000000"/>
          <w:highlight w:val="none"/>
          <w:u w:val="single"/>
          <w:shd w:val="clear" w:color="auto" w:fill="ffffff"/>
        </w:rPr>
        <w:t xml:space="preserve">（产品名称1）</w:t>
      </w:r>
      <w:r>
        <w:rPr>
          <w:rStyle w:val="94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6"/>
          <w:rFonts w:hint="eastAsia"/>
          <w:i w:val="0"/>
          <w:color w:val="000000"/>
          <w:highlight w:val="none"/>
          <w:u w:val="single"/>
          <w:shd w:val="clear" w:color="auto" w:fill="ffffff"/>
        </w:rPr>
        <w:t xml:space="preserve">（厂名）</w:t>
      </w:r>
      <w:r>
        <w:rPr>
          <w:rStyle w:val="94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46"/>
          <w:rFonts w:hint="eastAsia"/>
          <w:i/>
          <w:strike w:val="0"/>
          <w:color w:val="000000"/>
          <w:highlight w:val="none"/>
          <w:u w:val="single"/>
          <w:shd w:val="clear" w:color="auto" w:fill="ffffff"/>
        </w:rPr>
        <w:t xml:space="preserve">（规定比例）</w:t>
      </w:r>
      <w:r>
        <w:rPr>
          <w:rStyle w:val="946"/>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（关键组件）</w:t>
      </w:r>
      <w:r>
        <w:rPr>
          <w:rStyle w:val="946"/>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4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（关键工序）</w:t>
      </w:r>
      <w:r>
        <w:rPr>
          <w:rStyle w:val="946"/>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4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6"/>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46"/>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4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4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6"/>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34"/>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4"/>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4"/>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871"/>
        <w:jc w:val="left"/>
        <w:keepLines w:val="0"/>
        <w:keepNext w:val="0"/>
        <w:pageBreakBefore w:val="0"/>
        <w:spacing w:line="360" w:lineRule="auto"/>
        <w:widowControl/>
        <w:rPr>
          <w:color w:val="000000"/>
          <w:highlight w:val="none"/>
          <w:lang w:val="en-US"/>
        </w:rPr>
        <w:outlineLvl w:val="9"/>
      </w:pPr>
      <w:r>
        <w:rPr>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十二、分包情况说明及分包意向协议</w:t>
      </w:r>
      <w:r>
        <w:rPr>
          <w:color w:val="000000"/>
          <w:highlight w:val="none"/>
          <w:lang w:val="en-US"/>
        </w:rPr>
      </w:r>
      <w:r/>
    </w:p>
    <w:p>
      <w:pPr>
        <w:pStyle w:val="871"/>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871"/>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71"/>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871"/>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871"/>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871"/>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871"/>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871"/>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71"/>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871"/>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871"/>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871"/>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71"/>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871"/>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71"/>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3"/>
    <w:qFormat/>
    <w:pPr>
      <w:jc w:val="center"/>
      <w:keepNext/>
      <w:outlineLvl w:val="0"/>
    </w:pPr>
    <w:rPr>
      <w:rFonts w:ascii="楷体_GB2312" w:eastAsia="楷体_GB2312"/>
      <w:sz w:val="28"/>
      <w:szCs w:val="28"/>
    </w:rPr>
  </w:style>
  <w:style w:type="paragraph" w:styleId="873">
    <w:name w:val="标题 2"/>
    <w:basedOn w:val="871"/>
    <w:next w:val="885"/>
    <w:link w:val="884"/>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5"/>
    <w:link w:val="887"/>
    <w:qFormat/>
    <w:pPr>
      <w:keepLines/>
      <w:keepNext/>
      <w:spacing w:before="260" w:after="260" w:line="416" w:lineRule="auto"/>
      <w:outlineLvl w:val="2"/>
    </w:pPr>
    <w:rPr>
      <w:b/>
      <w:bCs/>
      <w:sz w:val="32"/>
      <w:szCs w:val="32"/>
    </w:rPr>
  </w:style>
  <w:style w:type="paragraph" w:styleId="875">
    <w:name w:val="标题 4"/>
    <w:basedOn w:val="871"/>
    <w:next w:val="885"/>
    <w:link w:val="888"/>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5"/>
    <w:link w:val="889"/>
    <w:qFormat/>
    <w:pPr>
      <w:keepNext/>
      <w:outlineLvl w:val="4"/>
    </w:pPr>
    <w:rPr>
      <w:rFonts w:ascii="宋体"/>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paragraph" w:styleId="885">
    <w:name w:val="正文缩进"/>
    <w:basedOn w:val="871"/>
    <w:next w:val="885"/>
    <w:link w:val="886"/>
    <w:pPr>
      <w:ind w:firstLine="420"/>
    </w:pPr>
  </w:style>
  <w:style w:type="character" w:styleId="886">
    <w:name w:val="正文缩进 Char"/>
    <w:next w:val="886"/>
    <w:link w:val="885"/>
    <w:rPr>
      <w:rFonts w:ascii="Times New Roman" w:hAnsi="Times New Roman" w:eastAsia="宋体" w:cs="Times New Roman"/>
      <w:szCs w:val="21"/>
    </w:rPr>
  </w:style>
  <w:style w:type="character" w:styleId="887">
    <w:name w:val="标题 3 Char"/>
    <w:next w:val="887"/>
    <w:link w:val="874"/>
    <w:rPr>
      <w:rFonts w:ascii="Times New Roman" w:hAnsi="Times New Roman" w:eastAsia="宋体" w:cs="Times New Roman"/>
      <w:b/>
      <w:bCs/>
      <w:sz w:val="32"/>
      <w:szCs w:val="32"/>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style>
  <w:style w:type="paragraph" w:styleId="895">
    <w:name w:val="目录 7"/>
    <w:basedOn w:val="871"/>
    <w:next w:val="871"/>
    <w:link w:val="871"/>
    <w:semiHidden/>
    <w:pPr>
      <w:ind w:left="1260"/>
      <w:jc w:val="left"/>
    </w:pPr>
  </w:style>
  <w:style w:type="paragraph" w:styleId="896">
    <w:name w:val="文档结构图"/>
    <w:basedOn w:val="871"/>
    <w:next w:val="896"/>
    <w:link w:val="897"/>
    <w:semiHidden/>
    <w:pPr>
      <w:shd w:val="clear" w:color="auto" w:fill="000080"/>
    </w:p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9">
    <w:name w:val="批注文字 Char"/>
    <w:next w:val="899"/>
    <w:link w:val="898"/>
    <w:semiHidden/>
    <w:rPr>
      <w:rFonts w:ascii="Times New Roman" w:hAnsi="Times New Roman" w:eastAsia="宋体" w:cs="Times New Roman"/>
      <w:szCs w:val="21"/>
    </w:rPr>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906"/>
    <w:link w:val="905"/>
    <w:pPr>
      <w:ind w:firstLine="645"/>
    </w:pPr>
    <w:rPr>
      <w:rFonts w:ascii="楷体_GB2312" w:eastAsia="楷体_GB2312"/>
      <w:sz w:val="32"/>
      <w:szCs w:val="32"/>
    </w:rPr>
  </w:style>
  <w:style w:type="character" w:styleId="905">
    <w:name w:val="正文文本缩进 Char"/>
    <w:next w:val="905"/>
    <w:link w:val="904"/>
    <w:rPr>
      <w:rFonts w:ascii="楷体_GB2312" w:hAnsi="Times New Roman" w:eastAsia="楷体_GB2312" w:cs="Times New Roman"/>
      <w:sz w:val="32"/>
      <w:szCs w:val="32"/>
    </w:rPr>
  </w:style>
  <w:style w:type="paragraph" w:styleId="906">
    <w:name w:val="寄信人地址"/>
    <w:basedOn w:val="871"/>
    <w:next w:val="906"/>
    <w:link w:val="871"/>
    <w:qFormat/>
    <w:rPr>
      <w:rFonts w:ascii="Arial" w:hAnsi="Arial" w:eastAsia="宋体" w:cs="宋体"/>
    </w:rPr>
  </w:style>
  <w:style w:type="paragraph" w:styleId="907">
    <w:name w:val="列表 2"/>
    <w:basedOn w:val="871"/>
    <w:next w:val="907"/>
    <w:link w:val="871"/>
    <w:pPr>
      <w:ind w:left="100" w:hanging="200"/>
    </w:pPr>
  </w:style>
  <w:style w:type="paragraph" w:styleId="908">
    <w:name w:val="目录 5"/>
    <w:basedOn w:val="871"/>
    <w:next w:val="871"/>
    <w:link w:val="871"/>
    <w:semiHidden/>
    <w:pPr>
      <w:ind w:left="840"/>
      <w:jc w:val="left"/>
    </w:pPr>
  </w:style>
  <w:style w:type="paragraph" w:styleId="909">
    <w:name w:val="目录 3"/>
    <w:basedOn w:val="871"/>
    <w:next w:val="871"/>
    <w:link w:val="871"/>
    <w:semiHidden/>
    <w:pPr>
      <w:ind w:left="420"/>
      <w:jc w:val="left"/>
    </w:pPr>
    <w:rPr>
      <w:i/>
      <w:iCs/>
      <w:szCs w:val="24"/>
    </w:rPr>
  </w:style>
  <w:style w:type="paragraph" w:styleId="910">
    <w:name w:val="纯文本"/>
    <w:basedOn w:val="871"/>
    <w:next w:val="910"/>
    <w:link w:val="911"/>
    <w:rPr>
      <w:rFonts w:ascii="宋体" w:hAnsi="Courier New" w:cs="Courier New"/>
    </w:rPr>
  </w:style>
  <w:style w:type="character" w:styleId="911">
    <w:name w:val="纯文本 Char"/>
    <w:next w:val="911"/>
    <w:link w:val="910"/>
    <w:rPr>
      <w:rFonts w:ascii="宋体" w:hAnsi="Courier New" w:eastAsia="宋体" w:cs="Courier New"/>
      <w:szCs w:val="21"/>
    </w:rPr>
  </w:style>
  <w:style w:type="paragraph" w:styleId="912">
    <w:name w:val="目录 8"/>
    <w:basedOn w:val="871"/>
    <w:next w:val="871"/>
    <w:link w:val="871"/>
    <w:semiHidden/>
    <w:pPr>
      <w:ind w:left="1470"/>
      <w:jc w:val="left"/>
    </w:pPr>
  </w:style>
  <w:style w:type="paragraph" w:styleId="913">
    <w:name w:val="日期"/>
    <w:basedOn w:val="871"/>
    <w:next w:val="871"/>
    <w:link w:val="914"/>
    <w:rPr>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71"/>
    <w:next w:val="917"/>
    <w:link w:val="918"/>
    <w:semiHidden/>
    <w:rPr>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4">
    <w:name w:val="目录 4"/>
    <w:basedOn w:val="871"/>
    <w:next w:val="871"/>
    <w:link w:val="871"/>
    <w:semiHidden/>
    <w:pPr>
      <w:ind w:left="630"/>
      <w:jc w:val="left"/>
    </w:pPr>
  </w:style>
  <w:style w:type="paragraph" w:styleId="925">
    <w:name w:val="列表"/>
    <w:basedOn w:val="871"/>
    <w:next w:val="925"/>
    <w:link w:val="871"/>
    <w:pPr>
      <w:ind w:left="200" w:hanging="200"/>
    </w:pPr>
  </w:style>
  <w:style w:type="paragraph" w:styleId="926">
    <w:name w:val="目录 6"/>
    <w:basedOn w:val="871"/>
    <w:next w:val="871"/>
    <w:link w:val="871"/>
    <w:semiHidden/>
    <w:pPr>
      <w:ind w:left="1050"/>
      <w:jc w:val="left"/>
    </w:pPr>
  </w:style>
  <w:style w:type="paragraph" w:styleId="927">
    <w:name w:val="正文文本缩进 3"/>
    <w:basedOn w:val="871"/>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style>
  <w:style w:type="paragraph" w:styleId="930">
    <w:name w:val="目录 2"/>
    <w:basedOn w:val="871"/>
    <w:next w:val="871"/>
    <w:link w:val="871"/>
    <w:semiHidden/>
    <w:pPr>
      <w:ind w:left="210"/>
      <w:jc w:val="left"/>
    </w:pPr>
    <w:rPr>
      <w:smallCaps/>
      <w:szCs w:val="24"/>
    </w:rPr>
  </w:style>
  <w:style w:type="paragraph" w:styleId="931">
    <w:name w:val="目录 9"/>
    <w:basedOn w:val="871"/>
    <w:next w:val="871"/>
    <w:link w:val="871"/>
    <w:semiHidden/>
    <w:pPr>
      <w:ind w:left="1680"/>
      <w:jc w:val="left"/>
    </w:pPr>
  </w:style>
  <w:style w:type="paragraph" w:styleId="932">
    <w:name w:val="正文文本 2"/>
    <w:basedOn w:val="871"/>
    <w:next w:val="932"/>
    <w:link w:val="933"/>
    <w:pPr>
      <w:jc w:val="center"/>
      <w:widowControl/>
    </w:pPr>
    <w:rPr>
      <w:rFonts w:ascii="楷体_GB2312"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cs="宋体"/>
      <w:sz w:val="24"/>
      <w:szCs w:val="24"/>
    </w:rPr>
  </w:style>
  <w:style w:type="paragraph" w:styleId="935">
    <w:name w:val="索引 1"/>
    <w:basedOn w:val="871"/>
    <w:next w:val="871"/>
    <w:link w:val="871"/>
    <w:semiHidden/>
    <w:pPr>
      <w:spacing w:line="240" w:lineRule="atLeast"/>
    </w:pPr>
    <w:rPr>
      <w:b/>
      <w:bCs/>
    </w:rPr>
  </w:style>
  <w:style w:type="paragraph" w:styleId="936">
    <w:name w:val="批注主题"/>
    <w:basedOn w:val="898"/>
    <w:next w:val="898"/>
    <w:link w:val="937"/>
    <w:semiHidden/>
    <w:rPr>
      <w:b/>
      <w:bCs/>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4"/>
    <w:next w:val="871"/>
    <w:link w:val="941"/>
    <w:pPr>
      <w:ind w:firstLine="420"/>
      <w:spacing w:line="360" w:lineRule="auto"/>
    </w:pPr>
    <w:rPr>
      <w:rFonts w:ascii="宋体" w:hAnsi="宋体" w:eastAsia="宋体"/>
      <w:sz w:val="21"/>
      <w:szCs w:val="20"/>
    </w:rPr>
  </w:style>
  <w:style w:type="character" w:styleId="941">
    <w:name w:val="正文首行缩进 2 Char"/>
    <w:next w:val="941"/>
    <w:link w:val="940"/>
    <w:rPr>
      <w:rFonts w:ascii="宋体" w:hAnsi="宋体" w:eastAsia="宋体" w:cs="Times New Roman"/>
      <w:sz w:val="32"/>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正文1"/>
    <w:basedOn w:val="871"/>
    <w:next w:val="949"/>
    <w:link w:val="871"/>
    <w:qFormat/>
    <w:pPr>
      <w:ind w:left="350" w:firstLine="0"/>
    </w:pPr>
    <w:rPr>
      <w:rFonts w:cs="Times New Roman"/>
      <w:sz w:val="20"/>
      <w:szCs w:val="24"/>
    </w:rPr>
  </w:style>
  <w:style w:type="paragraph" w:styleId="950">
    <w:name w:val="索引 41"/>
    <w:basedOn w:val="871"/>
    <w:next w:val="871"/>
    <w:link w:val="871"/>
    <w:semiHidden/>
    <w:qFormat/>
    <w:pPr>
      <w:ind w:left="1260"/>
    </w:pPr>
    <w:rPr>
      <w:rFonts w:ascii="Calibri" w:hAnsi="Calibri" w:eastAsia="Calibri" w:cs="宋体"/>
      <w:sz w:val="20"/>
      <w:lang w:val="zh-CN"/>
    </w:rPr>
  </w:style>
  <w:style w:type="paragraph" w:styleId="951">
    <w:name w:val="正文首行缩进 21"/>
    <w:basedOn w:val="952"/>
    <w:next w:val="871"/>
    <w:link w:val="871"/>
    <w:qFormat/>
    <w:pPr>
      <w:ind w:firstLine="420"/>
      <w:spacing w:line="360" w:lineRule="auto"/>
    </w:pPr>
    <w:rPr>
      <w:rFonts w:ascii="宋体" w:hAnsi="宋体" w:eastAsia="宋体"/>
      <w:sz w:val="21"/>
      <w:szCs w:val="20"/>
    </w:rPr>
  </w:style>
  <w:style w:type="paragraph" w:styleId="952">
    <w:name w:val="正文文本缩进11"/>
    <w:basedOn w:val="871"/>
    <w:next w:val="953"/>
    <w:link w:val="871"/>
    <w:qFormat/>
    <w:pPr>
      <w:ind w:firstLine="645"/>
    </w:pPr>
    <w:rPr>
      <w:rFonts w:ascii="楷体_GB2312" w:eastAsia="楷体_GB2312"/>
      <w:sz w:val="32"/>
      <w:szCs w:val="32"/>
    </w:rPr>
  </w:style>
  <w:style w:type="paragraph" w:styleId="953">
    <w:name w:val="寄信人地址1"/>
    <w:basedOn w:val="871"/>
    <w:next w:val="953"/>
    <w:link w:val="871"/>
    <w:qFormat/>
    <w:rPr>
      <w:rFonts w:ascii="Arial" w:hAnsi="Arial" w:eastAsia="宋体" w:cs="宋体"/>
    </w:rPr>
  </w:style>
  <w:style w:type="paragraph" w:styleId="954">
    <w:name w:val="标题 41"/>
    <w:basedOn w:val="871"/>
    <w:next w:val="955"/>
    <w:link w:val="871"/>
    <w:qFormat/>
    <w:pPr>
      <w:keepLines/>
      <w:keepNext/>
      <w:spacing w:before="280" w:after="290" w:line="376" w:lineRule="auto"/>
      <w:outlineLvl w:val="3"/>
    </w:pPr>
    <w:rPr>
      <w:rFonts w:ascii="Arial" w:hAnsi="Arial" w:eastAsia="黑体" w:cs="Arial"/>
      <w:b/>
      <w:bCs/>
      <w:sz w:val="28"/>
      <w:szCs w:val="28"/>
    </w:rPr>
  </w:style>
  <w:style w:type="paragraph" w:styleId="955">
    <w:name w:val="正文缩进1"/>
    <w:basedOn w:val="871"/>
    <w:next w:val="955"/>
    <w:link w:val="871"/>
    <w:qFormat/>
    <w:pPr>
      <w:ind w:firstLine="420"/>
    </w:pPr>
  </w:style>
  <w:style w:type="paragraph" w:styleId="956">
    <w:name w:val="正文文本12"/>
    <w:basedOn w:val="871"/>
    <w:next w:val="956"/>
    <w:link w:val="871"/>
    <w:uiPriority w:val="1"/>
    <w:qFormat/>
    <w:pPr>
      <w:ind w:left="120"/>
    </w:pPr>
    <w:rPr>
      <w:rFonts w:ascii="宋体" w:hAnsi="宋体" w:eastAsia="宋体" w:cs="宋体"/>
      <w:sz w:val="21"/>
      <w:szCs w:val="21"/>
      <w:lang w:val="zh-CN" w:eastAsia="zh-CN" w:bidi="zh-CN"/>
    </w:rPr>
  </w:style>
  <w:style w:type="character" w:styleId="957">
    <w:name w:val="font5 Char"/>
    <w:next w:val="957"/>
    <w:link w:val="871"/>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1"/>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71"/>
    <w:next w:val="961"/>
    <w:link w:val="960"/>
    <w:qFormat/>
    <w:pPr>
      <w:contextualSpacing/>
      <w:ind w:left="720"/>
      <w:jc w:val="left"/>
      <w:widowControl/>
    </w:pPr>
    <w:rPr>
      <w:rFonts w:ascii="Calibri" w:hAnsi="Calibri" w:eastAsia="宋体" w:cs="Times New Roman"/>
      <w:sz w:val="24"/>
      <w:szCs w:val="24"/>
      <w:lang w:eastAsia="en-US" w:bidi="en-US"/>
    </w:rPr>
  </w:style>
  <w:style w:type="paragraph" w:styleId="962">
    <w:name w:val="Body Text(ch)"/>
    <w:basedOn w:val="871"/>
    <w:next w:val="902"/>
    <w:link w:val="871"/>
    <w:pPr>
      <w:spacing w:after="120"/>
    </w:pPr>
    <w:rPr>
      <w:rFonts w:ascii="宋体" w:hAnsi="Arial"/>
      <w:bCs/>
      <w:iCs/>
      <w:szCs w:val="24"/>
    </w:rPr>
  </w:style>
  <w:style w:type="paragraph" w:styleId="963">
    <w:name w:val="xl27"/>
    <w:basedOn w:val="871"/>
    <w:next w:val="96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name w:val="xl26"/>
    <w:basedOn w:val="871"/>
    <w:next w:val="96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5">
    <w:name w:val="Char"/>
    <w:basedOn w:val="871"/>
    <w:next w:val="965"/>
    <w:link w:val="871"/>
    <w:pPr>
      <w:ind w:firstLine="200"/>
      <w:tabs>
        <w:tab w:val="left" w:pos="360" w:leader="none"/>
      </w:tabs>
    </w:pPr>
    <w:rPr>
      <w:sz w:val="28"/>
      <w:szCs w:val="30"/>
    </w:rPr>
  </w:style>
  <w:style w:type="paragraph" w:styleId="966">
    <w:name w:val=" Char"/>
    <w:basedOn w:val="896"/>
    <w:next w:val="966"/>
    <w:link w:val="871"/>
    <w:rPr>
      <w:rFonts w:ascii="Tahoma" w:hAnsi="Tahoma"/>
      <w:sz w:val="24"/>
      <w:szCs w:val="24"/>
    </w:rPr>
  </w:style>
  <w:style w:type="paragraph" w:styleId="967">
    <w:name w:val="普通正文"/>
    <w:basedOn w:val="871"/>
    <w:next w:val="967"/>
    <w:link w:val="871"/>
    <w:pPr>
      <w:ind w:firstLine="480"/>
      <w:jc w:val="left"/>
      <w:spacing w:before="120" w:after="120" w:line="360" w:lineRule="auto"/>
    </w:pPr>
    <w:rPr>
      <w:rFonts w:ascii="Arial" w:hAnsi="Arial"/>
      <w:sz w:val="24"/>
      <w:szCs w:val="24"/>
    </w:rPr>
  </w:style>
  <w:style w:type="paragraph" w:styleId="968">
    <w:name w:val="table_lines"/>
    <w:basedOn w:val="871"/>
    <w:next w:val="968"/>
    <w:link w:val="871"/>
    <w:pPr>
      <w:jc w:val="left"/>
      <w:widowControl/>
    </w:pPr>
    <w:rPr>
      <w:sz w:val="20"/>
      <w:szCs w:val="20"/>
      <w:lang w:val="de-DE" w:eastAsia="de-DE"/>
    </w:rPr>
  </w:style>
  <w:style w:type="paragraph" w:styleId="969">
    <w:name w:val="附录1"/>
    <w:next w:val="969"/>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0">
    <w:name w:val="font7"/>
    <w:basedOn w:val="871"/>
    <w:next w:val="970"/>
    <w:link w:val="871"/>
    <w:pPr>
      <w:jc w:val="left"/>
      <w:spacing w:before="100" w:beforeAutospacing="1" w:after="100" w:afterAutospacing="1"/>
      <w:widowControl/>
    </w:pPr>
    <w:rPr>
      <w:rFonts w:hint="eastAsia" w:ascii="宋体" w:hAnsi="宋体"/>
      <w:sz w:val="18"/>
      <w:szCs w:val="18"/>
    </w:rPr>
  </w:style>
  <w:style w:type="paragraph" w:styleId="971">
    <w:name w:val=" Char Char Char Char"/>
    <w:basedOn w:val="896"/>
    <w:next w:val="971"/>
    <w:link w:val="871"/>
    <w:pPr>
      <w:spacing w:line="360" w:lineRule="auto"/>
    </w:pPr>
    <w:rPr>
      <w:rFonts w:ascii="Tahoma" w:hAnsi="Tahoma"/>
      <w:sz w:val="24"/>
      <w:szCs w:val="24"/>
    </w:rPr>
  </w:style>
  <w:style w:type="paragraph" w:styleId="972">
    <w:name w:val="列出段落"/>
    <w:basedOn w:val="871"/>
    <w:next w:val="972"/>
    <w:link w:val="871"/>
    <w:qFormat/>
    <w:pPr>
      <w:contextualSpacing/>
      <w:ind w:left="720"/>
      <w:jc w:val="left"/>
      <w:widowControl/>
    </w:pPr>
    <w:rPr>
      <w:rFonts w:ascii="Calibri" w:hAnsi="Calibri"/>
      <w:sz w:val="24"/>
      <w:szCs w:val="24"/>
      <w:lang w:eastAsia="en-US" w:bidi="en-US"/>
    </w:rPr>
  </w:style>
  <w:style w:type="paragraph" w:styleId="973">
    <w:name w:val="4"/>
    <w:basedOn w:val="871"/>
    <w:next w:val="927"/>
    <w:link w:val="871"/>
    <w:pPr>
      <w:ind w:firstLine="420"/>
      <w:spacing w:line="360" w:lineRule="auto"/>
    </w:pPr>
    <w:rPr>
      <w:color w:val="ff0000"/>
      <w:sz w:val="24"/>
      <w:szCs w:val="24"/>
    </w:rPr>
  </w:style>
  <w:style w:type="paragraph" w:styleId="974">
    <w:name w:val="普通 (Web)"/>
    <w:basedOn w:val="871"/>
    <w:next w:val="974"/>
    <w:link w:val="871"/>
    <w:pPr>
      <w:jc w:val="left"/>
      <w:spacing w:before="100" w:beforeAutospacing="1" w:after="100" w:afterAutospacing="1"/>
      <w:widowControl/>
    </w:pPr>
    <w:rPr>
      <w:rFonts w:ascii="宋体" w:hAnsi="宋体"/>
      <w:sz w:val="24"/>
      <w:szCs w:val="24"/>
    </w:rPr>
  </w:style>
  <w:style w:type="paragraph" w:styleId="975">
    <w:name w:val=" Char Char Char Char Char Char Char Char Char Char"/>
    <w:basedOn w:val="871"/>
    <w:next w:val="975"/>
    <w:link w:val="871"/>
    <w:pPr>
      <w:spacing w:line="360" w:lineRule="auto"/>
    </w:pPr>
    <w:rPr>
      <w:sz w:val="24"/>
      <w:szCs w:val="20"/>
    </w:rPr>
  </w:style>
  <w:style w:type="paragraph" w:styleId="976">
    <w:name w:val="样式1"/>
    <w:basedOn w:val="871"/>
    <w:next w:val="976"/>
    <w:link w:val="871"/>
    <w:pPr>
      <w:numPr>
        <w:ilvl w:val="0"/>
        <w:numId w:val="3"/>
      </w:numPr>
      <w:tabs>
        <w:tab w:val="left" w:pos="709" w:leader="none"/>
      </w:tabs>
    </w:pPr>
    <w:rPr>
      <w:rFonts w:ascii="宋体" w:hAnsi="宋体"/>
    </w:rPr>
  </w:style>
  <w:style w:type="paragraph" w:styleId="977">
    <w:name w:val="font6"/>
    <w:basedOn w:val="871"/>
    <w:next w:val="977"/>
    <w:link w:val="871"/>
    <w:pPr>
      <w:jc w:val="left"/>
      <w:spacing w:before="100" w:beforeAutospacing="1" w:after="100" w:afterAutospacing="1"/>
      <w:widowControl/>
    </w:pPr>
    <w:rPr>
      <w:rFonts w:hint="eastAsia" w:ascii="宋体" w:hAnsi="宋体"/>
      <w:sz w:val="28"/>
      <w:szCs w:val="28"/>
      <w:u w:val="single"/>
    </w:rPr>
  </w:style>
  <w:style w:type="paragraph" w:styleId="978">
    <w:name w:val="xl25"/>
    <w:basedOn w:val="871"/>
    <w:next w:val="97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0">
    <w:name w:val="标题3"/>
    <w:basedOn w:val="871"/>
    <w:next w:val="871"/>
    <w:link w:val="871"/>
    <w:pPr>
      <w:ind w:firstLine="624"/>
      <w:spacing w:line="590" w:lineRule="atLeast"/>
    </w:pPr>
    <w:rPr>
      <w:rFonts w:ascii="方正黑体_GBK" w:eastAsia="方正黑体_GBK"/>
      <w:sz w:val="32"/>
      <w:szCs w:val="32"/>
    </w:rPr>
  </w:style>
  <w:style w:type="paragraph" w:styleId="981">
    <w:name w:val="xl24"/>
    <w:basedOn w:val="871"/>
    <w:next w:val="98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name w:val="xl29"/>
    <w:basedOn w:val="871"/>
    <w:next w:val="982"/>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name w:val="Char Char Char Char Char Char Char Char"/>
    <w:basedOn w:val="871"/>
    <w:next w:val="983"/>
    <w:link w:val="871"/>
    <w:pPr>
      <w:jc w:val="left"/>
      <w:spacing w:after="160" w:line="240" w:lineRule="exact"/>
      <w:widowControl/>
    </w:pPr>
    <w:rPr>
      <w:rFonts w:ascii="Verdana" w:hAnsi="Verdana"/>
      <w:sz w:val="20"/>
      <w:szCs w:val="20"/>
      <w:lang w:eastAsia="en-US"/>
    </w:rPr>
  </w:style>
  <w:style w:type="paragraph" w:styleId="984">
    <w:name w:val="xl28"/>
    <w:basedOn w:val="871"/>
    <w:next w:val="98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name w:val=" Char Char Char Char Char Char Char Char"/>
    <w:basedOn w:val="871"/>
    <w:next w:val="985"/>
    <w:link w:val="871"/>
    <w:pPr>
      <w:jc w:val="left"/>
      <w:spacing w:after="160" w:line="240" w:lineRule="exact"/>
      <w:widowControl/>
    </w:pPr>
    <w:rPr>
      <w:rFonts w:ascii="Verdana" w:hAnsi="Verdana"/>
      <w:sz w:val="20"/>
      <w:szCs w:val="20"/>
      <w:lang w:eastAsia="en-US"/>
    </w:rPr>
  </w:style>
  <w:style w:type="paragraph" w:styleId="986">
    <w:name w:val="xl30"/>
    <w:basedOn w:val="871"/>
    <w:next w:val="986"/>
    <w:link w:val="871"/>
    <w:pPr>
      <w:jc w:val="center"/>
      <w:spacing w:before="100" w:beforeAutospacing="1" w:after="100" w:afterAutospacing="1"/>
      <w:widowControl/>
    </w:pPr>
    <w:rPr>
      <w:rFonts w:ascii="宋体" w:hAnsi="宋体"/>
      <w:b/>
      <w:bCs/>
      <w:sz w:val="36"/>
      <w:szCs w:val="36"/>
    </w:rPr>
  </w:style>
  <w:style w:type="paragraph" w:styleId="987">
    <w:name w:val="Char Char Char Char"/>
    <w:basedOn w:val="896"/>
    <w:next w:val="987"/>
    <w:link w:val="871"/>
    <w:pPr>
      <w:spacing w:line="360" w:lineRule="auto"/>
    </w:pPr>
    <w:rPr>
      <w:rFonts w:ascii="Tahoma" w:hAnsi="Tahoma"/>
      <w:sz w:val="24"/>
      <w:szCs w:val="24"/>
    </w:rPr>
  </w:style>
  <w:style w:type="paragraph" w:styleId="988">
    <w:name w:val="table_1stline"/>
    <w:basedOn w:val="871"/>
    <w:next w:val="988"/>
    <w:link w:val="871"/>
    <w:pPr>
      <w:jc w:val="left"/>
      <w:spacing w:before="120"/>
      <w:widowControl/>
    </w:pPr>
    <w:rPr>
      <w:bCs/>
      <w:sz w:val="20"/>
      <w:szCs w:val="20"/>
      <w:lang w:val="de-DE" w:eastAsia="de-DE"/>
    </w:rPr>
  </w:style>
  <w:style w:type="paragraph" w:styleId="989">
    <w:name w:val="font5"/>
    <w:basedOn w:val="871"/>
    <w:next w:val="989"/>
    <w:link w:val="871"/>
    <w:pPr>
      <w:jc w:val="left"/>
      <w:spacing w:before="100" w:beforeAutospacing="1" w:after="100" w:afterAutospacing="1"/>
      <w:widowControl/>
    </w:pPr>
    <w:rPr>
      <w:rFonts w:hint="eastAsia" w:ascii="宋体" w:hAnsi="宋体"/>
      <w:sz w:val="28"/>
      <w:szCs w:val="28"/>
    </w:rPr>
  </w:style>
  <w:style w:type="paragraph" w:styleId="990">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name w:val="修订"/>
    <w:next w:val="991"/>
    <w:link w:val="871"/>
    <w:uiPriority w:val="99"/>
    <w:semiHidden/>
    <w:rPr>
      <w:rFonts w:ascii="Times New Roman" w:hAnsi="Times New Roman"/>
      <w:sz w:val="21"/>
      <w:szCs w:val="21"/>
      <w:lang w:val="en-US" w:eastAsia="zh-CN" w:bidi="ar-SA"/>
    </w:rPr>
  </w:style>
  <w:style w:type="paragraph" w:styleId="992">
    <w:name w:val="无间隔"/>
    <w:next w:val="992"/>
    <w:link w:val="871"/>
    <w:uiPriority w:val="99"/>
    <w:qFormat/>
    <w:pPr>
      <w:jc w:val="both"/>
      <w:widowControl w:val="off"/>
    </w:pPr>
    <w:rPr>
      <w:rFonts w:ascii="Times New Roman" w:hAnsi="Times New Roman"/>
      <w:sz w:val="21"/>
      <w:szCs w:val="21"/>
      <w:lang w:val="en-US" w:eastAsia="zh-CN" w:bidi="ar-SA"/>
    </w:rPr>
  </w:style>
  <w:style w:type="paragraph" w:styleId="993">
    <w:name w:val="正文文本 211"/>
    <w:basedOn w:val="871"/>
    <w:next w:val="993"/>
    <w:link w:val="871"/>
    <w:uiPriority w:val="99"/>
    <w:qFormat/>
    <w:pPr>
      <w:jc w:val="center"/>
    </w:pPr>
    <w:rPr>
      <w:b/>
      <w:bCs/>
      <w:sz w:val="20"/>
      <w:szCs w:val="20"/>
    </w:rPr>
  </w:style>
  <w:style w:type="table" w:styleId="994">
    <w:name w:val="Table Normal"/>
    <w:next w:val="994"/>
    <w:link w:val="871"/>
    <w:qFormat/>
    <w:tblPr/>
  </w:style>
  <w:style w:type="paragraph" w:styleId="995">
    <w:name w:val="正文文本1"/>
    <w:basedOn w:val="871"/>
    <w:next w:val="871"/>
    <w:link w:val="871"/>
    <w:semiHidden/>
    <w:qFormat/>
    <w:rPr>
      <w:rFonts w:ascii="Arial" w:hAnsi="Arial" w:eastAsia="Arial" w:cs="Arial"/>
      <w:sz w:val="21"/>
      <w:szCs w:val="21"/>
      <w:lang w:val="en-US" w:eastAsia="en-US" w:bidi="ar-SA"/>
    </w:rPr>
  </w:style>
  <w:style w:type="paragraph" w:styleId="996">
    <w:name w:val="纯文本1"/>
    <w:basedOn w:val="871"/>
    <w:next w:val="996"/>
    <w:link w:val="871"/>
    <w:qFormat/>
    <w:rPr>
      <w:rFonts w:ascii="宋体" w:hAnsi="Courier New" w:cs="Courier New"/>
    </w:rPr>
  </w:style>
  <w:style w:type="table" w:styleId="997">
    <w:name w:val="网格型1"/>
    <w:basedOn w:val="998"/>
    <w:next w:val="997"/>
    <w:link w:val="871"/>
    <w:qFormat/>
    <w:pPr>
      <w:jc w:val="both"/>
      <w:widowControl w:val="off"/>
    </w:pPr>
    <w:tblPr/>
  </w:style>
  <w:style w:type="table" w:styleId="998">
    <w:name w:val="普通表格1"/>
    <w:next w:val="998"/>
    <w:link w:val="871"/>
    <w:uiPriority w:val="99"/>
    <w:unhideWhenUsed/>
    <w:qFormat/>
    <w:tblPr/>
  </w:style>
  <w:style w:type="character" w:styleId="999">
    <w:name w:val="15"/>
    <w:basedOn w:val="881"/>
    <w:next w:val="999"/>
    <w:link w:val="871"/>
    <w:rPr>
      <w:rFonts w:ascii="Times New Roman" w:hAnsi="Times New Roman" w:cs="Times New Roman"/>
    </w:rPr>
  </w:style>
  <w:style w:type="paragraph" w:styleId="1000">
    <w:name w:val="正文首行缩进 211"/>
    <w:basedOn w:val="952"/>
    <w:next w:val="871"/>
    <w:link w:val="871"/>
    <w:qFormat/>
    <w:pPr>
      <w:ind w:left="0" w:firstLine="420"/>
      <w:spacing w:after="0" w:line="360" w:lineRule="auto"/>
    </w:pPr>
    <w:rPr>
      <w:rFonts w:ascii="宋体" w:hAnsi="宋体" w:eastAsia="宋体" w:cs="Times New Roman"/>
      <w:szCs w:val="20"/>
    </w:rPr>
  </w:style>
  <w:style w:type="paragraph" w:styleId="1001">
    <w:name w:val="Table Paragraph"/>
    <w:basedOn w:val="871"/>
    <w:next w:val="1001"/>
    <w:link w:val="871"/>
    <w:uiPriority w:val="1"/>
    <w:qFormat/>
    <w:pPr>
      <w:jc w:val="left"/>
    </w:pPr>
    <w:rPr>
      <w:rFonts w:ascii="宋体" w:hAnsi="宋体" w:eastAsia="宋体" w:cs="宋体"/>
      <w:sz w:val="22"/>
      <w:szCs w:val="22"/>
      <w:lang w:val="zh-CN" w:bidi="zh-CN"/>
    </w:rPr>
  </w:style>
  <w:style w:type="paragraph" w:styleId="1002">
    <w:name w:val="正文首行缩进 212"/>
    <w:basedOn w:val="1003"/>
    <w:next w:val="871"/>
    <w:link w:val="871"/>
    <w:qFormat/>
    <w:pPr>
      <w:ind w:left="0" w:firstLine="420"/>
      <w:spacing w:after="0" w:line="360" w:lineRule="auto"/>
    </w:pPr>
    <w:rPr>
      <w:rFonts w:ascii="宋体" w:hAnsi="宋体" w:eastAsia="宋体" w:cs="Times New Roman"/>
      <w:szCs w:val="20"/>
    </w:rPr>
  </w:style>
  <w:style w:type="paragraph" w:styleId="1003">
    <w:name w:val="正文文本缩进111"/>
    <w:basedOn w:val="871"/>
    <w:next w:val="1004"/>
    <w:link w:val="871"/>
    <w:unhideWhenUsed/>
    <w:qFormat/>
    <w:pPr>
      <w:ind w:left="420"/>
      <w:spacing w:after="120"/>
    </w:pPr>
  </w:style>
  <w:style w:type="paragraph" w:styleId="1004">
    <w:name w:val="寄信人地址111"/>
    <w:basedOn w:val="871"/>
    <w:next w:val="1004"/>
    <w:link w:val="871"/>
    <w:qFormat/>
    <w:rPr>
      <w:rFonts w:ascii="Arial" w:hAnsi="Arial" w:eastAsia="宋体" w:cs="宋体"/>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4</cp:revision>
  <dcterms:created xsi:type="dcterms:W3CDTF">2023-03-16T02:16:00Z</dcterms:created>
  <dcterms:modified xsi:type="dcterms:W3CDTF">2026-07-31T07:25:54Z</dcterms:modified>
</cp:coreProperties>
</file>